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B6" w:rsidRPr="00C7798B" w:rsidRDefault="000C70B6" w:rsidP="000C70B6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Calibri" w:eastAsia="Times New Roman" w:hAnsi="Calibri" w:cs="Arial"/>
          <w:b/>
          <w:kern w:val="0"/>
          <w:sz w:val="32"/>
          <w:szCs w:val="32"/>
          <w:lang w:eastAsia="pl-PL"/>
          <w14:ligatures w14:val="none"/>
        </w:rPr>
      </w:pPr>
      <w:r w:rsidRPr="00C7798B">
        <w:rPr>
          <w:rFonts w:ascii="Calibri" w:eastAsia="Times New Roman" w:hAnsi="Calibri" w:cs="Arial"/>
          <w:b/>
          <w:kern w:val="0"/>
          <w:sz w:val="32"/>
          <w:szCs w:val="32"/>
          <w:lang w:eastAsia="pl-PL"/>
          <w14:ligatures w14:val="none"/>
        </w:rPr>
        <w:t>UCHWAŁA NR</w:t>
      </w:r>
      <w:r w:rsidR="000B4639" w:rsidRPr="00C7798B">
        <w:rPr>
          <w:rFonts w:ascii="Calibri" w:eastAsia="Times New Roman" w:hAnsi="Calibri" w:cs="Arial"/>
          <w:b/>
          <w:kern w:val="0"/>
          <w:sz w:val="32"/>
          <w:szCs w:val="32"/>
          <w:lang w:eastAsia="pl-PL"/>
          <w14:ligatures w14:val="none"/>
        </w:rPr>
        <w:t xml:space="preserve"> 07/</w:t>
      </w:r>
      <w:r w:rsidRPr="00C7798B">
        <w:rPr>
          <w:rFonts w:ascii="Calibri" w:eastAsia="Times New Roman" w:hAnsi="Calibri" w:cs="Arial"/>
          <w:b/>
          <w:kern w:val="0"/>
          <w:sz w:val="32"/>
          <w:szCs w:val="32"/>
          <w:lang w:eastAsia="pl-PL"/>
          <w14:ligatures w14:val="none"/>
        </w:rPr>
        <w:t>X/2024</w:t>
      </w:r>
    </w:p>
    <w:p w:rsidR="000C70B6" w:rsidRPr="00833A06" w:rsidRDefault="000C70B6" w:rsidP="000C70B6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Calibri" w:eastAsia="Times New Roman" w:hAnsi="Calibri" w:cs="Arial"/>
          <w:b/>
          <w:kern w:val="0"/>
          <w:sz w:val="24"/>
          <w:szCs w:val="24"/>
          <w:lang w:eastAsia="pl-PL"/>
          <w14:ligatures w14:val="none"/>
        </w:rPr>
      </w:pPr>
      <w:r w:rsidRPr="00833A06">
        <w:rPr>
          <w:rFonts w:ascii="Calibri" w:eastAsia="Times New Roman" w:hAnsi="Calibri" w:cs="Arial"/>
          <w:b/>
          <w:kern w:val="0"/>
          <w:sz w:val="24"/>
          <w:szCs w:val="24"/>
          <w:lang w:eastAsia="pl-PL"/>
          <w14:ligatures w14:val="none"/>
        </w:rPr>
        <w:t>RADY NADZORCZEJ PERN SPÓŁKI AKCYJNEJ Z SIEDZIBĄ W PŁOCKU</w:t>
      </w:r>
    </w:p>
    <w:p w:rsidR="000C70B6" w:rsidRDefault="000C70B6" w:rsidP="000C70B6">
      <w:pPr>
        <w:spacing w:after="0" w:line="276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  <w:r w:rsidRPr="00833A06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Z DNIA </w:t>
      </w:r>
      <w:r w:rsidR="005F3752" w:rsidRPr="00DD3A2A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>12</w:t>
      </w:r>
      <w:r w:rsidRPr="00833A06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 </w:t>
      </w:r>
      <w:r w:rsidR="0080255E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>SIERPNIA</w:t>
      </w:r>
      <w:r w:rsidRPr="00833A06"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  <w:t xml:space="preserve"> 2024 ROKU</w:t>
      </w:r>
    </w:p>
    <w:p w:rsidR="000C70B6" w:rsidRPr="00833A06" w:rsidRDefault="000C70B6" w:rsidP="000C70B6">
      <w:pPr>
        <w:spacing w:after="0" w:line="276" w:lineRule="auto"/>
        <w:jc w:val="center"/>
        <w:rPr>
          <w:rFonts w:ascii="Calibri" w:eastAsia="Calibri" w:hAnsi="Calibri" w:cs="Arial"/>
          <w:b/>
          <w:kern w:val="0"/>
          <w:sz w:val="24"/>
          <w:szCs w:val="24"/>
          <w14:ligatures w14:val="none"/>
        </w:rPr>
      </w:pPr>
    </w:p>
    <w:p w:rsidR="002248C1" w:rsidRDefault="00882ABE" w:rsidP="002248C1">
      <w:pPr>
        <w:spacing w:line="276" w:lineRule="auto"/>
        <w:ind w:left="1134" w:hanging="1134"/>
        <w:jc w:val="both"/>
        <w:rPr>
          <w:rFonts w:ascii="Calibri" w:hAnsi="Calibri" w:cs="Calibri"/>
          <w:b/>
        </w:rPr>
      </w:pPr>
      <w:r w:rsidRPr="00C7798B">
        <w:rPr>
          <w:rFonts w:ascii="Calibri" w:hAnsi="Calibri" w:cs="Calibri"/>
          <w:b/>
        </w:rPr>
        <w:t>w sprawie:  rozpoczęcia procedury wyboru firmy audytorskiej do badania jednostkowego sprawozdania finansowego PERN S.A. na dzień bilansowy oraz na inny dzień w ciągu roku obrotowego, skonsolidowanego sprawozdania finansowego Grupy Kapitałowej PERN, jednostkowych sprawozdań oraz arkuszy konsolidacyjnych spółek wchodzących w skład Grupy Kapitałowej PERN za lata obrotowe od 01.01.2024 do 31.12.2024 i od 01.01.2025 do 31.12.2025</w:t>
      </w:r>
      <w:r w:rsidR="006454B4">
        <w:rPr>
          <w:rFonts w:ascii="Calibri" w:hAnsi="Calibri" w:cs="Calibri"/>
          <w:b/>
        </w:rPr>
        <w:t xml:space="preserve"> oraz </w:t>
      </w:r>
      <w:r w:rsidR="006454B4" w:rsidRPr="00755AE8">
        <w:rPr>
          <w:rFonts w:ascii="Calibri" w:eastAsia="Times New Roman" w:hAnsi="Calibri" w:cs="Calibri"/>
          <w:b/>
          <w:lang w:eastAsia="pl-PL"/>
        </w:rPr>
        <w:t>badani</w:t>
      </w:r>
      <w:r w:rsidR="00755AE8" w:rsidRPr="00755AE8">
        <w:rPr>
          <w:rFonts w:ascii="Calibri" w:eastAsia="Times New Roman" w:hAnsi="Calibri" w:cs="Calibri"/>
          <w:b/>
          <w:lang w:eastAsia="pl-PL"/>
        </w:rPr>
        <w:t>a</w:t>
      </w:r>
      <w:r w:rsidR="006454B4" w:rsidRPr="00755AE8">
        <w:rPr>
          <w:rFonts w:ascii="Calibri" w:eastAsia="Times New Roman" w:hAnsi="Calibri" w:cs="Calibri"/>
          <w:b/>
          <w:lang w:eastAsia="pl-PL"/>
        </w:rPr>
        <w:t xml:space="preserve"> sprawozdania </w:t>
      </w:r>
      <w:r w:rsidR="006454B4" w:rsidRPr="00755AE8">
        <w:rPr>
          <w:rFonts w:ascii="Calibri" w:hAnsi="Calibri" w:cs="Calibri"/>
          <w:b/>
        </w:rPr>
        <w:t>w zakresie zrównoważonego rozwoju PERN S.A. za rok obrotowy 2025</w:t>
      </w:r>
    </w:p>
    <w:p w:rsidR="00255FE8" w:rsidRPr="00255FE8" w:rsidRDefault="00255FE8" w:rsidP="002248C1">
      <w:pPr>
        <w:spacing w:line="276" w:lineRule="auto"/>
        <w:ind w:left="1134" w:hanging="1134"/>
        <w:jc w:val="both"/>
        <w:rPr>
          <w:rFonts w:ascii="Calibri" w:hAnsi="Calibri" w:cs="Calibri"/>
          <w:b/>
          <w:sz w:val="10"/>
          <w:szCs w:val="10"/>
        </w:rPr>
      </w:pPr>
    </w:p>
    <w:p w:rsidR="00882ABE" w:rsidRPr="00C7798B" w:rsidRDefault="00882ABE" w:rsidP="00C7798B">
      <w:pPr>
        <w:spacing w:before="240" w:line="276" w:lineRule="auto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Na podstawie </w:t>
      </w:r>
      <w:r w:rsidRPr="00C7798B">
        <w:rPr>
          <w:rFonts w:ascii="Calibri" w:hAnsi="Calibri" w:cs="Calibri"/>
        </w:rPr>
        <w:t>art. 382 § 1 oraz art. 384 Kodeksu spółek handlowych w związku</w:t>
      </w:r>
      <w:r w:rsidRPr="00C7798B">
        <w:rPr>
          <w:rFonts w:ascii="Calibri" w:eastAsia="Times New Roman" w:hAnsi="Calibri" w:cs="Calibri"/>
          <w:lang w:eastAsia="pl-PL"/>
        </w:rPr>
        <w:t xml:space="preserve"> § 31 ust.1 pkt 4 Statutu PERN S.A. (dalej </w:t>
      </w:r>
      <w:r w:rsidRPr="00C7798B">
        <w:rPr>
          <w:rFonts w:ascii="Calibri" w:eastAsia="Times New Roman" w:hAnsi="Calibri" w:cs="Calibri"/>
          <w:b/>
          <w:lang w:eastAsia="pl-PL"/>
        </w:rPr>
        <w:t>„Spółka”</w:t>
      </w:r>
      <w:r w:rsidRPr="00C7798B">
        <w:rPr>
          <w:rFonts w:ascii="Calibri" w:eastAsia="Times New Roman" w:hAnsi="Calibri" w:cs="Calibri"/>
          <w:lang w:eastAsia="pl-PL"/>
        </w:rPr>
        <w:t xml:space="preserve"> lub </w:t>
      </w:r>
      <w:r w:rsidRPr="00C7798B">
        <w:rPr>
          <w:rFonts w:ascii="Calibri" w:eastAsia="Times New Roman" w:hAnsi="Calibri" w:cs="Calibri"/>
          <w:b/>
          <w:lang w:eastAsia="pl-PL"/>
        </w:rPr>
        <w:t>„PERN”</w:t>
      </w:r>
      <w:r w:rsidRPr="00C7798B">
        <w:rPr>
          <w:rFonts w:ascii="Calibri" w:eastAsia="Times New Roman" w:hAnsi="Calibri" w:cs="Calibri"/>
          <w:lang w:eastAsia="pl-PL"/>
        </w:rPr>
        <w:t xml:space="preserve">) w związku </w:t>
      </w:r>
      <w:r w:rsidR="00EC1BA9">
        <w:rPr>
          <w:rFonts w:ascii="Calibri" w:eastAsia="Times New Roman" w:hAnsi="Calibri" w:cs="Calibri"/>
          <w:lang w:eastAsia="pl-PL"/>
        </w:rPr>
        <w:t xml:space="preserve">z </w:t>
      </w:r>
      <w:r w:rsidRPr="00C7798B">
        <w:rPr>
          <w:rFonts w:ascii="Calibri" w:eastAsia="Times New Roman" w:hAnsi="Calibri" w:cs="Calibri"/>
          <w:lang w:eastAsia="pl-PL"/>
        </w:rPr>
        <w:t>postanowieniami Wytycznych dotyczących procedury wyboru</w:t>
      </w:r>
      <w:r w:rsidRPr="00C7798B">
        <w:rPr>
          <w:rFonts w:ascii="Calibri" w:eastAsia="Times New Roman" w:hAnsi="Calibri" w:cs="Calibri"/>
          <w:lang w:eastAsia="pl-PL"/>
        </w:rPr>
        <w:br/>
        <w:t>i współpracy z firmą audytorską badającą roczne sprawozdanie finansowe spółki z udziałem Skarbu Państwa, Rada Nadzorcza Spółki postanowiła:</w:t>
      </w:r>
    </w:p>
    <w:p w:rsidR="00882ABE" w:rsidRPr="00C7798B" w:rsidRDefault="00882ABE" w:rsidP="00C7798B">
      <w:pPr>
        <w:spacing w:after="120" w:line="276" w:lineRule="auto"/>
        <w:jc w:val="center"/>
        <w:rPr>
          <w:rFonts w:ascii="Calibri" w:hAnsi="Calibri" w:cs="Calibri"/>
          <w:b/>
        </w:rPr>
      </w:pPr>
      <w:r w:rsidRPr="00C7798B">
        <w:rPr>
          <w:rFonts w:ascii="Calibri" w:hAnsi="Calibri" w:cs="Calibri"/>
          <w:b/>
        </w:rPr>
        <w:t>§ 1.</w:t>
      </w:r>
    </w:p>
    <w:p w:rsidR="00882ABE" w:rsidRPr="00C7798B" w:rsidRDefault="00882ABE" w:rsidP="00D131B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Rozpocząć, z zastrzeżeniem ust. 2, postępowanie w sprawie wyboru firmy audytorskiej do badania jednostkowego sprawozdania finansowego PERN S.A. (dalej </w:t>
      </w:r>
      <w:r w:rsidRPr="00C7798B">
        <w:rPr>
          <w:rFonts w:ascii="Calibri" w:eastAsia="Times New Roman" w:hAnsi="Calibri" w:cs="Calibri"/>
          <w:b/>
          <w:lang w:eastAsia="pl-PL"/>
        </w:rPr>
        <w:t>„PERN”</w:t>
      </w:r>
      <w:r w:rsidRPr="00C7798B">
        <w:rPr>
          <w:rFonts w:ascii="Calibri" w:eastAsia="Times New Roman" w:hAnsi="Calibri" w:cs="Calibri"/>
          <w:lang w:eastAsia="pl-PL"/>
        </w:rPr>
        <w:t xml:space="preserve">) na dzień bilansowy oraz na inny dzień w ciągu roku obrotowego, skonsolidowanego sprawozdania finansowego Grupy Kapitałowej PERN (dalej </w:t>
      </w:r>
      <w:r w:rsidRPr="00C7798B">
        <w:rPr>
          <w:rFonts w:ascii="Calibri" w:eastAsia="Times New Roman" w:hAnsi="Calibri" w:cs="Calibri"/>
          <w:b/>
          <w:lang w:eastAsia="pl-PL"/>
        </w:rPr>
        <w:t>„Grupa Kapitałowa”</w:t>
      </w:r>
      <w:r w:rsidRPr="00C7798B">
        <w:rPr>
          <w:rFonts w:ascii="Calibri" w:eastAsia="Times New Roman" w:hAnsi="Calibri" w:cs="Calibri"/>
          <w:lang w:eastAsia="pl-PL"/>
        </w:rPr>
        <w:t xml:space="preserve">), jednostkowych sprawozdań oraz arkuszy konsolidacyjnych spółek wchodzących </w:t>
      </w:r>
      <w:r w:rsidR="00D131B4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>w skład Grupy Kapitałowej PERN (dalej Grupa Kapitałowa) za lata obrotowe od 01.01.2024 do 31.12.2024 roku oraz od 01.01.2025 do 31.12.2025</w:t>
      </w:r>
      <w:r w:rsidR="00C3459B" w:rsidRPr="00C7798B">
        <w:rPr>
          <w:rFonts w:ascii="Calibri" w:eastAsia="Times New Roman" w:hAnsi="Calibri" w:cs="Calibri"/>
          <w:lang w:eastAsia="pl-PL"/>
        </w:rPr>
        <w:t xml:space="preserve"> roku</w:t>
      </w:r>
      <w:r w:rsidRPr="00C7798B">
        <w:rPr>
          <w:rFonts w:ascii="Calibri" w:eastAsia="Times New Roman" w:hAnsi="Calibri" w:cs="Calibri"/>
          <w:lang w:eastAsia="pl-PL"/>
        </w:rPr>
        <w:t>, a ta</w:t>
      </w:r>
      <w:r w:rsidR="00C3459B" w:rsidRPr="00C7798B">
        <w:rPr>
          <w:rFonts w:ascii="Calibri" w:eastAsia="Times New Roman" w:hAnsi="Calibri" w:cs="Calibri"/>
          <w:lang w:eastAsia="pl-PL"/>
        </w:rPr>
        <w:t xml:space="preserve">kże sprawozdania </w:t>
      </w:r>
      <w:r w:rsidR="00C3459B" w:rsidRPr="00C7798B">
        <w:rPr>
          <w:rFonts w:ascii="Calibri" w:hAnsi="Calibri" w:cs="Calibri"/>
        </w:rPr>
        <w:t>w zakresie zrównoważonego rozwoju PERN S.A. za rok obrotowy 2025</w:t>
      </w:r>
      <w:r w:rsidRPr="00C7798B">
        <w:rPr>
          <w:rFonts w:ascii="Calibri" w:eastAsia="Times New Roman" w:hAnsi="Calibri" w:cs="Calibri"/>
          <w:lang w:eastAsia="pl-PL"/>
        </w:rPr>
        <w:t xml:space="preserve"> w drodze ogłoszenia. Publikacja ogłoszenia zamieszczona zostanie </w:t>
      </w:r>
      <w:r w:rsidR="00D131B4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 xml:space="preserve">na stronie internetowej </w:t>
      </w:r>
      <w:hyperlink r:id="rId10" w:history="1">
        <w:r w:rsidR="00C7798B" w:rsidRPr="00C7798B">
          <w:rPr>
            <w:rStyle w:val="Hipercze"/>
            <w:rFonts w:ascii="Calibri" w:eastAsia="Times New Roman" w:hAnsi="Calibri" w:cs="Calibri"/>
            <w:lang w:eastAsia="pl-PL"/>
          </w:rPr>
          <w:t>www.pern.pl</w:t>
        </w:r>
      </w:hyperlink>
      <w:r w:rsidRPr="00C7798B">
        <w:rPr>
          <w:rFonts w:ascii="Calibri" w:eastAsia="Times New Roman" w:hAnsi="Calibri" w:cs="Calibri"/>
          <w:lang w:eastAsia="pl-PL"/>
        </w:rPr>
        <w:t>.</w:t>
      </w:r>
    </w:p>
    <w:p w:rsidR="00755AE8" w:rsidRDefault="00882ABE" w:rsidP="00755AE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55AE8">
        <w:rPr>
          <w:rFonts w:ascii="Calibri" w:eastAsia="Times New Roman" w:hAnsi="Calibri" w:cs="Calibri"/>
          <w:lang w:eastAsia="pl-PL"/>
        </w:rPr>
        <w:t>Wyb</w:t>
      </w:r>
      <w:r w:rsidR="00755AE8" w:rsidRPr="00755AE8">
        <w:rPr>
          <w:rFonts w:ascii="Calibri" w:eastAsia="Times New Roman" w:hAnsi="Calibri" w:cs="Calibri"/>
          <w:lang w:eastAsia="pl-PL"/>
        </w:rPr>
        <w:t>ór</w:t>
      </w:r>
      <w:r w:rsidRPr="00755AE8">
        <w:rPr>
          <w:rFonts w:ascii="Calibri" w:eastAsia="Times New Roman" w:hAnsi="Calibri" w:cs="Calibri"/>
          <w:lang w:eastAsia="pl-PL"/>
        </w:rPr>
        <w:t xml:space="preserve"> firmy audytorskiej do badani</w:t>
      </w:r>
      <w:r w:rsidR="00DD3A2A" w:rsidRPr="00755AE8">
        <w:rPr>
          <w:rFonts w:ascii="Calibri" w:eastAsia="Times New Roman" w:hAnsi="Calibri" w:cs="Calibri"/>
          <w:lang w:eastAsia="pl-PL"/>
        </w:rPr>
        <w:t>a</w:t>
      </w:r>
      <w:r w:rsidRPr="00755AE8">
        <w:rPr>
          <w:rFonts w:ascii="Calibri" w:eastAsia="Times New Roman" w:hAnsi="Calibri" w:cs="Calibri"/>
          <w:lang w:eastAsia="pl-PL"/>
        </w:rPr>
        <w:t xml:space="preserve"> jednostkowych sprawozdań oraz arkuszy konsolidacyjnych na dzień bilansowy spółek wchodzących w skład Grupy Kapitałowej</w:t>
      </w:r>
      <w:r w:rsidR="00755AE8" w:rsidRPr="00755AE8">
        <w:rPr>
          <w:rFonts w:ascii="Calibri" w:eastAsia="Times New Roman" w:hAnsi="Calibri" w:cs="Calibri"/>
          <w:lang w:eastAsia="pl-PL"/>
        </w:rPr>
        <w:t xml:space="preserve"> PERN</w:t>
      </w:r>
      <w:r w:rsidRPr="00755AE8">
        <w:rPr>
          <w:rFonts w:ascii="Calibri" w:eastAsia="Times New Roman" w:hAnsi="Calibri" w:cs="Calibri"/>
          <w:lang w:eastAsia="pl-PL"/>
        </w:rPr>
        <w:t xml:space="preserve"> </w:t>
      </w:r>
      <w:r w:rsidR="00755AE8" w:rsidRPr="00755AE8">
        <w:rPr>
          <w:rFonts w:ascii="Calibri" w:eastAsia="Times New Roman" w:hAnsi="Calibri" w:cs="Calibri"/>
          <w:lang w:eastAsia="pl-PL"/>
        </w:rPr>
        <w:t xml:space="preserve">zostanie dokonany </w:t>
      </w:r>
      <w:r w:rsidRPr="00755AE8">
        <w:rPr>
          <w:rFonts w:ascii="Calibri" w:eastAsia="Times New Roman" w:hAnsi="Calibri" w:cs="Calibri"/>
          <w:lang w:eastAsia="pl-PL"/>
        </w:rPr>
        <w:t>po podjęciu przez Rady Nadzorcze poszczególnych spółek stosownych uchwał</w:t>
      </w:r>
      <w:r w:rsidR="00755AE8">
        <w:rPr>
          <w:rFonts w:ascii="Calibri" w:eastAsia="Times New Roman" w:hAnsi="Calibri" w:cs="Calibri"/>
          <w:lang w:eastAsia="pl-PL"/>
        </w:rPr>
        <w:t>.</w:t>
      </w:r>
    </w:p>
    <w:p w:rsidR="00882ABE" w:rsidRPr="00755AE8" w:rsidRDefault="00882ABE" w:rsidP="00755AE8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755AE8">
        <w:rPr>
          <w:rFonts w:ascii="Calibri" w:eastAsia="Times New Roman" w:hAnsi="Calibri" w:cs="Calibri"/>
          <w:lang w:eastAsia="pl-PL"/>
        </w:rPr>
        <w:t xml:space="preserve">Zalecić Zarządowi PERN S.A. zamieszczenie ogłoszenia, o którym mowa w ust.1 w brzmieniu stanowiącym </w:t>
      </w:r>
      <w:r w:rsidR="00755AE8" w:rsidRPr="00755AE8">
        <w:rPr>
          <w:rFonts w:ascii="Calibri" w:eastAsia="Times New Roman" w:hAnsi="Calibri" w:cs="Calibri"/>
          <w:lang w:eastAsia="pl-PL"/>
        </w:rPr>
        <w:t xml:space="preserve"> </w:t>
      </w:r>
      <w:r w:rsidRPr="00755AE8">
        <w:rPr>
          <w:rFonts w:ascii="Calibri" w:eastAsia="Times New Roman" w:hAnsi="Calibri" w:cs="Calibri"/>
          <w:b/>
          <w:lang w:eastAsia="pl-PL"/>
        </w:rPr>
        <w:t xml:space="preserve">Załącznik </w:t>
      </w:r>
      <w:r w:rsidRPr="00755AE8">
        <w:rPr>
          <w:rFonts w:ascii="Calibri" w:eastAsia="Times New Roman" w:hAnsi="Calibri" w:cs="Calibri"/>
          <w:lang w:eastAsia="pl-PL"/>
        </w:rPr>
        <w:t xml:space="preserve">do niniejszej Uchwały w terminie do dnia </w:t>
      </w:r>
      <w:r w:rsidRPr="00755AE8">
        <w:rPr>
          <w:rFonts w:ascii="Calibri" w:eastAsia="Times New Roman" w:hAnsi="Calibri" w:cs="Calibri"/>
          <w:u w:val="single"/>
          <w:lang w:eastAsia="pl-PL"/>
        </w:rPr>
        <w:t>1</w:t>
      </w:r>
      <w:r w:rsidR="00C3459B" w:rsidRPr="00755AE8">
        <w:rPr>
          <w:rFonts w:ascii="Calibri" w:eastAsia="Times New Roman" w:hAnsi="Calibri" w:cs="Calibri"/>
          <w:u w:val="single"/>
          <w:lang w:eastAsia="pl-PL"/>
        </w:rPr>
        <w:t>6</w:t>
      </w:r>
      <w:r w:rsidRPr="00755AE8">
        <w:rPr>
          <w:rFonts w:ascii="Calibri" w:eastAsia="Times New Roman" w:hAnsi="Calibri" w:cs="Calibri"/>
          <w:u w:val="single"/>
          <w:lang w:eastAsia="pl-PL"/>
        </w:rPr>
        <w:t>.0</w:t>
      </w:r>
      <w:r w:rsidR="00C3459B" w:rsidRPr="00755AE8">
        <w:rPr>
          <w:rFonts w:ascii="Calibri" w:eastAsia="Times New Roman" w:hAnsi="Calibri" w:cs="Calibri"/>
          <w:u w:val="single"/>
          <w:lang w:eastAsia="pl-PL"/>
        </w:rPr>
        <w:t>8</w:t>
      </w:r>
      <w:r w:rsidRPr="00755AE8">
        <w:rPr>
          <w:rFonts w:ascii="Calibri" w:eastAsia="Times New Roman" w:hAnsi="Calibri" w:cs="Calibri"/>
          <w:u w:val="single"/>
          <w:lang w:eastAsia="pl-PL"/>
        </w:rPr>
        <w:t>.202</w:t>
      </w:r>
      <w:r w:rsidR="00C3459B" w:rsidRPr="00755AE8">
        <w:rPr>
          <w:rFonts w:ascii="Calibri" w:eastAsia="Times New Roman" w:hAnsi="Calibri" w:cs="Calibri"/>
          <w:u w:val="single"/>
          <w:lang w:eastAsia="pl-PL"/>
        </w:rPr>
        <w:t>4</w:t>
      </w:r>
      <w:r w:rsidRPr="00755AE8">
        <w:rPr>
          <w:rFonts w:ascii="Calibri" w:eastAsia="Times New Roman" w:hAnsi="Calibri" w:cs="Calibri"/>
          <w:u w:val="single"/>
          <w:lang w:eastAsia="pl-PL"/>
        </w:rPr>
        <w:t xml:space="preserve"> roku</w:t>
      </w:r>
      <w:r w:rsidRPr="00755AE8">
        <w:rPr>
          <w:rFonts w:ascii="Calibri" w:eastAsia="Times New Roman" w:hAnsi="Calibri" w:cs="Calibri"/>
          <w:lang w:eastAsia="pl-PL"/>
        </w:rPr>
        <w:t>.</w:t>
      </w:r>
    </w:p>
    <w:p w:rsidR="00882ABE" w:rsidRPr="00C7798B" w:rsidRDefault="00882ABE" w:rsidP="00D131B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4.</w:t>
      </w:r>
      <w:r w:rsidRPr="00C7798B">
        <w:rPr>
          <w:rFonts w:ascii="Calibri" w:eastAsia="Times New Roman" w:hAnsi="Calibri" w:cs="Calibri"/>
          <w:lang w:eastAsia="pl-PL"/>
        </w:rPr>
        <w:tab/>
        <w:t xml:space="preserve">Określić następujące terminy zakończenia badań sprawozdań finansowych i arkuszy konsolidacyjnych </w:t>
      </w:r>
      <w:r w:rsidR="00DD3A2A" w:rsidRPr="00C7798B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 xml:space="preserve">oraz sporządzenia sprawozdań z badania o tym, czy sprawozdanie finansowe jest prawidłowe </w:t>
      </w:r>
      <w:r w:rsidRPr="00C7798B">
        <w:rPr>
          <w:rFonts w:ascii="Calibri" w:eastAsia="Times New Roman" w:hAnsi="Calibri" w:cs="Calibri"/>
          <w:lang w:eastAsia="pl-PL"/>
        </w:rPr>
        <w:br/>
        <w:t>oraz rzetelnie i jasno przedstawia sytuację majątkową i finansową, jak też wynik finansowy badanej Spółki, Grupy Kapitałowej PERN:</w:t>
      </w:r>
    </w:p>
    <w:p w:rsidR="00882ABE" w:rsidRPr="00C7798B" w:rsidRDefault="00882ABE" w:rsidP="00C7798B">
      <w:pPr>
        <w:spacing w:after="0" w:line="276" w:lineRule="auto"/>
        <w:ind w:left="851" w:hanging="284"/>
        <w:jc w:val="both"/>
        <w:rPr>
          <w:rFonts w:ascii="Calibri" w:hAnsi="Calibri" w:cs="Calibri"/>
        </w:rPr>
      </w:pPr>
      <w:r w:rsidRPr="00C7798B">
        <w:rPr>
          <w:rFonts w:ascii="Calibri" w:eastAsia="Times New Roman" w:hAnsi="Calibri" w:cs="Calibri"/>
          <w:lang w:eastAsia="pl-PL"/>
        </w:rPr>
        <w:t>1)</w:t>
      </w:r>
      <w:r w:rsidRPr="00C7798B">
        <w:rPr>
          <w:rFonts w:ascii="Calibri" w:eastAsia="Times New Roman" w:hAnsi="Calibri" w:cs="Calibri"/>
          <w:lang w:eastAsia="pl-PL"/>
        </w:rPr>
        <w:tab/>
        <w:t xml:space="preserve">jednostkowych rocznych sprawozdań finansowych </w:t>
      </w:r>
      <w:r w:rsidRPr="00C7798B">
        <w:rPr>
          <w:rFonts w:ascii="Calibri" w:hAnsi="Calibri" w:cs="Calibri"/>
        </w:rPr>
        <w:t>– w terminie do dnia 2</w:t>
      </w:r>
      <w:r w:rsidR="00C3459B" w:rsidRPr="00C7798B">
        <w:rPr>
          <w:rFonts w:ascii="Calibri" w:hAnsi="Calibri" w:cs="Calibri"/>
        </w:rPr>
        <w:t>7</w:t>
      </w:r>
      <w:r w:rsidRPr="00C7798B">
        <w:rPr>
          <w:rFonts w:ascii="Calibri" w:hAnsi="Calibri" w:cs="Calibri"/>
        </w:rPr>
        <w:t>.02.202</w:t>
      </w:r>
      <w:r w:rsidR="00C3459B" w:rsidRPr="00C7798B">
        <w:rPr>
          <w:rFonts w:ascii="Calibri" w:hAnsi="Calibri" w:cs="Calibri"/>
        </w:rPr>
        <w:t>5</w:t>
      </w:r>
      <w:r w:rsidRPr="00C7798B">
        <w:rPr>
          <w:rFonts w:ascii="Calibri" w:hAnsi="Calibri" w:cs="Calibri"/>
        </w:rPr>
        <w:t xml:space="preserve"> roku </w:t>
      </w:r>
      <w:r w:rsidRPr="00C7798B">
        <w:rPr>
          <w:rFonts w:ascii="Calibri" w:hAnsi="Calibri" w:cs="Calibri"/>
        </w:rPr>
        <w:br/>
        <w:t xml:space="preserve">i </w:t>
      </w:r>
      <w:r w:rsidR="00755AE8">
        <w:rPr>
          <w:rFonts w:ascii="Calibri" w:hAnsi="Calibri" w:cs="Calibri"/>
        </w:rPr>
        <w:t>do dnia 27.02.2026</w:t>
      </w:r>
      <w:r w:rsidRPr="00C7798B">
        <w:rPr>
          <w:rFonts w:ascii="Calibri" w:hAnsi="Calibri" w:cs="Calibri"/>
        </w:rPr>
        <w:t xml:space="preserve"> roku,</w:t>
      </w:r>
    </w:p>
    <w:p w:rsidR="00882ABE" w:rsidRPr="00C7798B" w:rsidRDefault="00882ABE" w:rsidP="00C7798B">
      <w:pPr>
        <w:tabs>
          <w:tab w:val="left" w:pos="851"/>
        </w:tabs>
        <w:spacing w:after="0"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lastRenderedPageBreak/>
        <w:t>2)</w:t>
      </w:r>
      <w:r w:rsidRPr="00C7798B">
        <w:rPr>
          <w:rFonts w:ascii="Calibri" w:eastAsia="Times New Roman" w:hAnsi="Calibri" w:cs="Calibri"/>
          <w:lang w:eastAsia="pl-PL"/>
        </w:rPr>
        <w:tab/>
        <w:t>skonsolidowanych sprawozdań finansowych Grupy Kapitałowej – w terminie do dnia 24.03.202</w:t>
      </w:r>
      <w:r w:rsidR="00C3459B" w:rsidRPr="00C7798B">
        <w:rPr>
          <w:rFonts w:ascii="Calibri" w:eastAsia="Times New Roman" w:hAnsi="Calibri" w:cs="Calibri"/>
          <w:lang w:eastAsia="pl-PL"/>
        </w:rPr>
        <w:t>5</w:t>
      </w:r>
      <w:r w:rsidRPr="00C7798B">
        <w:rPr>
          <w:rFonts w:ascii="Calibri" w:eastAsia="Times New Roman" w:hAnsi="Calibri" w:cs="Calibri"/>
          <w:lang w:eastAsia="pl-PL"/>
        </w:rPr>
        <w:t xml:space="preserve"> roku i </w:t>
      </w:r>
      <w:r w:rsidR="00755AE8">
        <w:rPr>
          <w:rFonts w:ascii="Calibri" w:eastAsia="Times New Roman" w:hAnsi="Calibri" w:cs="Calibri"/>
          <w:lang w:eastAsia="pl-PL"/>
        </w:rPr>
        <w:t>do dnia 24.03.</w:t>
      </w:r>
      <w:r w:rsidRPr="00C7798B">
        <w:rPr>
          <w:rFonts w:ascii="Calibri" w:eastAsia="Times New Roman" w:hAnsi="Calibri" w:cs="Calibri"/>
          <w:lang w:eastAsia="pl-PL"/>
        </w:rPr>
        <w:t>202</w:t>
      </w:r>
      <w:r w:rsidR="00C3459B" w:rsidRPr="00C7798B">
        <w:rPr>
          <w:rFonts w:ascii="Calibri" w:eastAsia="Times New Roman" w:hAnsi="Calibri" w:cs="Calibri"/>
          <w:lang w:eastAsia="pl-PL"/>
        </w:rPr>
        <w:t>6</w:t>
      </w:r>
      <w:r w:rsidRPr="00C7798B">
        <w:rPr>
          <w:rFonts w:ascii="Calibri" w:eastAsia="Times New Roman" w:hAnsi="Calibri" w:cs="Calibri"/>
          <w:lang w:eastAsia="pl-PL"/>
        </w:rPr>
        <w:t xml:space="preserve"> roku,</w:t>
      </w:r>
    </w:p>
    <w:p w:rsidR="00882ABE" w:rsidRPr="00C7798B" w:rsidRDefault="00882ABE" w:rsidP="00C7798B">
      <w:pPr>
        <w:tabs>
          <w:tab w:val="left" w:pos="709"/>
          <w:tab w:val="left" w:pos="851"/>
        </w:tabs>
        <w:spacing w:line="276" w:lineRule="auto"/>
        <w:ind w:left="993" w:hanging="426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3)</w:t>
      </w:r>
      <w:r w:rsidRPr="00C7798B">
        <w:rPr>
          <w:rFonts w:ascii="Calibri" w:eastAsia="Times New Roman" w:hAnsi="Calibri" w:cs="Calibri"/>
          <w:lang w:eastAsia="pl-PL"/>
        </w:rPr>
        <w:tab/>
        <w:t>badanie arkuszy konsolidacyjnych – w terminie do dnia 03.03.202</w:t>
      </w:r>
      <w:r w:rsidR="00C3459B" w:rsidRPr="00C7798B">
        <w:rPr>
          <w:rFonts w:ascii="Calibri" w:eastAsia="Times New Roman" w:hAnsi="Calibri" w:cs="Calibri"/>
          <w:lang w:eastAsia="pl-PL"/>
        </w:rPr>
        <w:t>5</w:t>
      </w:r>
      <w:r w:rsidRPr="00C7798B">
        <w:rPr>
          <w:rFonts w:ascii="Calibri" w:eastAsia="Times New Roman" w:hAnsi="Calibri" w:cs="Calibri"/>
          <w:lang w:eastAsia="pl-PL"/>
        </w:rPr>
        <w:t xml:space="preserve"> roku i </w:t>
      </w:r>
      <w:r w:rsidR="00A943FB">
        <w:rPr>
          <w:rFonts w:ascii="Calibri" w:eastAsia="Times New Roman" w:hAnsi="Calibri" w:cs="Calibri"/>
          <w:lang w:eastAsia="pl-PL"/>
        </w:rPr>
        <w:t>do dnia 03.03.</w:t>
      </w:r>
      <w:r w:rsidRPr="00C7798B">
        <w:rPr>
          <w:rFonts w:ascii="Calibri" w:eastAsia="Times New Roman" w:hAnsi="Calibri" w:cs="Calibri"/>
          <w:lang w:eastAsia="pl-PL"/>
        </w:rPr>
        <w:t>202</w:t>
      </w:r>
      <w:r w:rsidR="00C3459B" w:rsidRPr="00C7798B">
        <w:rPr>
          <w:rFonts w:ascii="Calibri" w:eastAsia="Times New Roman" w:hAnsi="Calibri" w:cs="Calibri"/>
          <w:lang w:eastAsia="pl-PL"/>
        </w:rPr>
        <w:t>6</w:t>
      </w:r>
      <w:r w:rsidRPr="00C7798B">
        <w:rPr>
          <w:rFonts w:ascii="Calibri" w:eastAsia="Times New Roman" w:hAnsi="Calibri" w:cs="Calibri"/>
          <w:lang w:eastAsia="pl-PL"/>
        </w:rPr>
        <w:t xml:space="preserve"> roku.</w:t>
      </w:r>
    </w:p>
    <w:p w:rsidR="00882ABE" w:rsidRPr="00C7798B" w:rsidRDefault="00882ABE" w:rsidP="00C7798B">
      <w:pPr>
        <w:tabs>
          <w:tab w:val="left" w:pos="0"/>
        </w:tabs>
        <w:spacing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4)</w:t>
      </w:r>
      <w:r w:rsidRPr="00C7798B">
        <w:rPr>
          <w:rFonts w:ascii="Calibri" w:eastAsia="Times New Roman" w:hAnsi="Calibri" w:cs="Calibri"/>
          <w:lang w:eastAsia="pl-PL"/>
        </w:rPr>
        <w:tab/>
        <w:t xml:space="preserve">w przypadku konieczności badania sprawozdania finansowego PERN S.A.  na inny dzień w ciągu roku obrotowego harmonogram badania zostanie określony z firmą audytorską odrębnie. </w:t>
      </w:r>
    </w:p>
    <w:p w:rsidR="00C3459B" w:rsidRPr="00C7798B" w:rsidRDefault="00C3459B" w:rsidP="00C7798B">
      <w:pPr>
        <w:tabs>
          <w:tab w:val="left" w:pos="0"/>
        </w:tabs>
        <w:spacing w:line="276" w:lineRule="auto"/>
        <w:ind w:left="851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5) </w:t>
      </w:r>
      <w:bookmarkStart w:id="0" w:name="_Hlk174368661"/>
      <w:r w:rsidR="002A157C" w:rsidRPr="00C7798B">
        <w:rPr>
          <w:rFonts w:ascii="Calibri" w:eastAsia="Times New Roman" w:hAnsi="Calibri" w:cs="Calibri"/>
          <w:lang w:eastAsia="pl-PL"/>
        </w:rPr>
        <w:t xml:space="preserve">badanie sprawozdania </w:t>
      </w:r>
      <w:r w:rsidR="002A157C" w:rsidRPr="00C7798B">
        <w:rPr>
          <w:rFonts w:ascii="Calibri" w:hAnsi="Calibri" w:cs="Calibri"/>
        </w:rPr>
        <w:t xml:space="preserve">w zakresie zrównoważonego rozwoju PERN S.A. za rok obrotowy 2025 </w:t>
      </w:r>
      <w:r w:rsidR="00DD3A2A" w:rsidRPr="00C7798B">
        <w:rPr>
          <w:rFonts w:ascii="Calibri" w:hAnsi="Calibri" w:cs="Calibri"/>
        </w:rPr>
        <w:br/>
      </w:r>
      <w:bookmarkEnd w:id="0"/>
      <w:r w:rsidR="002A157C" w:rsidRPr="00C7798B">
        <w:rPr>
          <w:rFonts w:ascii="Calibri" w:hAnsi="Calibri" w:cs="Calibri"/>
        </w:rPr>
        <w:t>– w terminie do dnia 27.02.2026 roku.</w:t>
      </w:r>
    </w:p>
    <w:p w:rsidR="00882ABE" w:rsidRPr="00C7798B" w:rsidRDefault="00882ABE" w:rsidP="00C7798B">
      <w:pPr>
        <w:spacing w:after="120" w:line="276" w:lineRule="auto"/>
        <w:jc w:val="center"/>
        <w:rPr>
          <w:rFonts w:ascii="Calibri" w:hAnsi="Calibri" w:cs="Calibri"/>
          <w:b/>
        </w:rPr>
      </w:pPr>
      <w:r w:rsidRPr="00C7798B">
        <w:rPr>
          <w:rFonts w:ascii="Calibri" w:hAnsi="Calibri" w:cs="Calibri"/>
          <w:b/>
        </w:rPr>
        <w:t>§ 2.</w:t>
      </w:r>
    </w:p>
    <w:p w:rsidR="00882ABE" w:rsidRPr="00C7798B" w:rsidRDefault="00882ABE" w:rsidP="00C7798B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426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Oferty składane przez Oferentów powinny zawierać w szczególności:</w:t>
      </w:r>
    </w:p>
    <w:p w:rsidR="00882ABE" w:rsidRPr="00C7798B" w:rsidRDefault="00882ABE" w:rsidP="00C7798B">
      <w:pPr>
        <w:numPr>
          <w:ilvl w:val="0"/>
          <w:numId w:val="6"/>
        </w:numPr>
        <w:tabs>
          <w:tab w:val="left" w:pos="709"/>
        </w:tabs>
        <w:spacing w:before="120" w:after="0" w:line="276" w:lineRule="auto"/>
        <w:ind w:left="709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dokładne oznaczenie nazwy, siedziby, NIP, REGON Oferenta,</w:t>
      </w:r>
    </w:p>
    <w:p w:rsidR="00882ABE" w:rsidRPr="00C7798B" w:rsidRDefault="00882ABE" w:rsidP="00897D6C">
      <w:pPr>
        <w:numPr>
          <w:ilvl w:val="0"/>
          <w:numId w:val="6"/>
        </w:numPr>
        <w:tabs>
          <w:tab w:val="left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oznaczenie właściwego rejestru (ewidencji), do których wpisany jest Oferent wraz z dokumentem potwierdzającym wpis do właściwego rejestru (ewidencji) wystawiony nie wcześniej niż 6 miesięcy przed terminem składania ofert,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informację, iż badania sprawozdań finansowych jednostkowych i skonsolidowanych oraz arkuszy konsolidacyjnych będą przeprowadzane </w:t>
      </w:r>
      <w:r w:rsidRPr="00C7798B">
        <w:rPr>
          <w:rFonts w:ascii="Calibri" w:hAnsi="Calibri" w:cs="Calibri"/>
        </w:rPr>
        <w:t xml:space="preserve">zgodnie z Krajowymi Standardami Badania, </w:t>
      </w:r>
      <w:r w:rsidRPr="00C7798B">
        <w:rPr>
          <w:rFonts w:ascii="Calibri" w:hAnsi="Calibri" w:cs="Calibri"/>
        </w:rPr>
        <w:br/>
        <w:t>w brzmieniu Międzynarodowych Standardów Badania, przyjętymi przez Krajową Radę Biegłych Rewidentów, zwanymi dalej „Krajowymi Standardami Badania”, ustawą z dnia 1</w:t>
      </w:r>
      <w:r w:rsidR="00B3750C" w:rsidRPr="00C7798B">
        <w:rPr>
          <w:rFonts w:ascii="Calibri" w:hAnsi="Calibri" w:cs="Calibri"/>
        </w:rPr>
        <w:t>5</w:t>
      </w:r>
      <w:r w:rsidRPr="00C7798B">
        <w:rPr>
          <w:rFonts w:ascii="Calibri" w:hAnsi="Calibri" w:cs="Calibri"/>
        </w:rPr>
        <w:t xml:space="preserve"> </w:t>
      </w:r>
      <w:r w:rsidR="00B3750C" w:rsidRPr="00C7798B">
        <w:rPr>
          <w:rFonts w:ascii="Calibri" w:hAnsi="Calibri" w:cs="Calibri"/>
        </w:rPr>
        <w:t>lipca</w:t>
      </w:r>
      <w:r w:rsidRPr="00C7798B">
        <w:rPr>
          <w:rFonts w:ascii="Calibri" w:hAnsi="Calibri" w:cs="Calibri"/>
        </w:rPr>
        <w:t xml:space="preserve"> 20</w:t>
      </w:r>
      <w:r w:rsidR="00B3750C" w:rsidRPr="00C7798B">
        <w:rPr>
          <w:rFonts w:ascii="Calibri" w:hAnsi="Calibri" w:cs="Calibri"/>
        </w:rPr>
        <w:t>24</w:t>
      </w:r>
      <w:r w:rsidRPr="00C7798B">
        <w:rPr>
          <w:rFonts w:ascii="Calibri" w:hAnsi="Calibri" w:cs="Calibri"/>
        </w:rPr>
        <w:t xml:space="preserve"> r. </w:t>
      </w:r>
      <w:r w:rsidRPr="00C7798B">
        <w:rPr>
          <w:rFonts w:ascii="Calibri" w:hAnsi="Calibri" w:cs="Calibri"/>
        </w:rPr>
        <w:br/>
        <w:t>o biegłych rewidentach, firmach audytorskich oraz nadzorze publicznym, zwaną dalej „ustawą</w:t>
      </w:r>
      <w:r w:rsidRPr="00C7798B">
        <w:rPr>
          <w:rFonts w:ascii="Calibri" w:hAnsi="Calibri" w:cs="Calibri"/>
        </w:rPr>
        <w:br/>
        <w:t>o biegłych rewidentach</w:t>
      </w:r>
      <w:r w:rsidR="00405746">
        <w:rPr>
          <w:rFonts w:ascii="Calibri" w:hAnsi="Calibri" w:cs="Calibri"/>
        </w:rPr>
        <w:t>”</w:t>
      </w:r>
      <w:r w:rsidRPr="00C7798B">
        <w:rPr>
          <w:rFonts w:ascii="Calibri" w:hAnsi="Calibri" w:cs="Calibri"/>
        </w:rPr>
        <w:t>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harmonogram badania będący jednocześnie integralną częścią umowy na badanie, w tym: terminy przeprowadzenia badania wstępnego i badania zasadniczego sprawozdań jednostkowych spółek </w:t>
      </w:r>
      <w:r w:rsidR="00D52A24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>z GK</w:t>
      </w:r>
      <w:r w:rsidR="002A157C" w:rsidRPr="00C7798B">
        <w:rPr>
          <w:rFonts w:ascii="Calibri" w:eastAsia="Times New Roman" w:hAnsi="Calibri" w:cs="Calibri"/>
          <w:lang w:eastAsia="pl-PL"/>
        </w:rPr>
        <w:t>,</w:t>
      </w:r>
      <w:r w:rsidRPr="00C7798B">
        <w:rPr>
          <w:rFonts w:ascii="Calibri" w:eastAsia="Times New Roman" w:hAnsi="Calibri" w:cs="Calibri"/>
          <w:lang w:eastAsia="pl-PL"/>
        </w:rPr>
        <w:t xml:space="preserve"> sprawozdania skonsolidowanego GK PERN</w:t>
      </w:r>
      <w:r w:rsidR="002A157C" w:rsidRPr="00C7798B">
        <w:rPr>
          <w:rFonts w:ascii="Calibri" w:eastAsia="Times New Roman" w:hAnsi="Calibri" w:cs="Calibri"/>
          <w:lang w:eastAsia="pl-PL"/>
        </w:rPr>
        <w:t>,</w:t>
      </w:r>
      <w:r w:rsidRPr="00C7798B">
        <w:rPr>
          <w:rFonts w:ascii="Calibri" w:eastAsia="Times New Roman" w:hAnsi="Calibri" w:cs="Calibri"/>
          <w:lang w:eastAsia="pl-PL"/>
        </w:rPr>
        <w:t xml:space="preserve"> arkuszy konsolidacyjnych </w:t>
      </w:r>
      <w:r w:rsidRPr="00C7798B">
        <w:rPr>
          <w:rFonts w:ascii="Calibri" w:hAnsi="Calibri" w:cs="Calibri"/>
        </w:rPr>
        <w:t>za rok 202</w:t>
      </w:r>
      <w:r w:rsidR="002A157C" w:rsidRPr="00C7798B">
        <w:rPr>
          <w:rFonts w:ascii="Calibri" w:hAnsi="Calibri" w:cs="Calibri"/>
        </w:rPr>
        <w:t>4</w:t>
      </w:r>
      <w:r w:rsidRPr="00C7798B">
        <w:rPr>
          <w:rFonts w:ascii="Calibri" w:hAnsi="Calibri" w:cs="Calibri"/>
        </w:rPr>
        <w:t xml:space="preserve"> i 202</w:t>
      </w:r>
      <w:r w:rsidR="002A157C" w:rsidRPr="00C7798B">
        <w:rPr>
          <w:rFonts w:ascii="Calibri" w:hAnsi="Calibri" w:cs="Calibri"/>
        </w:rPr>
        <w:t xml:space="preserve">5 </w:t>
      </w:r>
      <w:r w:rsidR="00DD3A2A" w:rsidRPr="00C7798B">
        <w:rPr>
          <w:rFonts w:ascii="Calibri" w:hAnsi="Calibri" w:cs="Calibri"/>
        </w:rPr>
        <w:br/>
      </w:r>
      <w:r w:rsidR="002A157C" w:rsidRPr="00C7798B">
        <w:rPr>
          <w:rFonts w:ascii="Calibri" w:hAnsi="Calibri" w:cs="Calibri"/>
        </w:rPr>
        <w:t>oraz sprawozdania w zakresie zrównoważonego rozwoju PERN za rok 2025</w:t>
      </w:r>
      <w:r w:rsidRPr="00C7798B">
        <w:rPr>
          <w:rFonts w:ascii="Calibri" w:eastAsia="Times New Roman" w:hAnsi="Calibri" w:cs="Calibri"/>
          <w:lang w:eastAsia="pl-PL"/>
        </w:rPr>
        <w:t>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skład zespołów realizujących badanie z wyszczególnieniem osób posiadających uprawnienia biegłego rewidenta i opisem doświadczenia zawodowego i znajomości branży,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wskazanie metod badania sprawozdań finansowych,</w:t>
      </w:r>
    </w:p>
    <w:p w:rsidR="00882ABE" w:rsidRDefault="00882ABE" w:rsidP="00C7798B">
      <w:pPr>
        <w:numPr>
          <w:ilvl w:val="0"/>
          <w:numId w:val="6"/>
        </w:numPr>
        <w:tabs>
          <w:tab w:val="clear" w:pos="644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oferowaną cenę za badanie poszczególnych sprawozdań finansowych, w tym w trakcie roku obrotowego dla PERN S.A., i sporządzenie sprawozdań z badania sprawozdań finansowych </w:t>
      </w:r>
      <w:r w:rsidR="00DD3A2A" w:rsidRPr="00C7798B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 xml:space="preserve">oraz badanie arkuszy konsolidacyjnych wraz z przygotowaniem pisemnych informacji z ich badania </w:t>
      </w:r>
      <w:r w:rsidR="00DD3A2A" w:rsidRPr="00C7798B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 xml:space="preserve">w rozbiciu na cenę netto i cenę brutto, odrębnie dla każdego badania wraz z podaniem łącznej ceny netto i brutto za wszystkie badania wymienionych spółek i skonsolidowanego sprawozdania finansowego Grupy Kapitałowej PERN . Oferowana cena powinna obejmować </w:t>
      </w:r>
      <w:r w:rsidRPr="00C7798B">
        <w:rPr>
          <w:rFonts w:ascii="Calibri" w:eastAsia="Times New Roman" w:hAnsi="Calibri" w:cs="Calibri"/>
          <w:u w:val="single"/>
          <w:lang w:eastAsia="pl-PL"/>
        </w:rPr>
        <w:t>wszystkie</w:t>
      </w:r>
      <w:r w:rsidRPr="00C7798B">
        <w:rPr>
          <w:rFonts w:ascii="Calibri" w:eastAsia="Times New Roman" w:hAnsi="Calibri" w:cs="Calibri"/>
          <w:lang w:eastAsia="pl-PL"/>
        </w:rPr>
        <w:t xml:space="preserve"> ponoszone przez Oferenta koszty,</w:t>
      </w:r>
    </w:p>
    <w:p w:rsidR="00A03F4E" w:rsidRPr="00C7798B" w:rsidRDefault="00A03F4E" w:rsidP="00A03F4E">
      <w:pPr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  <w:lang w:eastAsia="pl-PL"/>
        </w:rPr>
      </w:pPr>
      <w:bookmarkStart w:id="1" w:name="_GoBack"/>
      <w:bookmarkEnd w:id="1"/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hAnsi="Calibri" w:cs="Calibri"/>
        </w:rPr>
        <w:t>preferowany sposób prowadzenia badania, czyli badanie stacjonarne w siedzibie Spółek lub zdalne elektronicznie,</w:t>
      </w:r>
    </w:p>
    <w:p w:rsidR="00882ABE" w:rsidRPr="00C7798B" w:rsidRDefault="00882ABE" w:rsidP="00C7798B">
      <w:pPr>
        <w:pStyle w:val="Akapitzlist"/>
        <w:numPr>
          <w:ilvl w:val="0"/>
          <w:numId w:val="6"/>
        </w:numPr>
        <w:tabs>
          <w:tab w:val="clear" w:pos="644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hAnsi="Calibri" w:cs="Calibri"/>
        </w:rPr>
      </w:pPr>
      <w:r w:rsidRPr="00C7798B">
        <w:rPr>
          <w:rFonts w:ascii="Calibri" w:eastAsia="Times New Roman" w:hAnsi="Calibri" w:cs="Calibri"/>
          <w:lang w:eastAsia="pl-PL"/>
        </w:rPr>
        <w:t>wskazanie</w:t>
      </w:r>
      <w:r w:rsidRPr="00C7798B">
        <w:rPr>
          <w:rFonts w:ascii="Calibri" w:hAnsi="Calibri" w:cs="Calibri"/>
        </w:rPr>
        <w:t xml:space="preserve"> przyjętego przez firmę audytorską sposobu i ścieżki procedowania w procesie wyrażania stanowiska w sprawach podlegających badaniu, tzn. czy </w:t>
      </w:r>
      <w:r w:rsidR="00405746">
        <w:rPr>
          <w:rFonts w:ascii="Calibri" w:hAnsi="Calibri" w:cs="Calibri"/>
          <w:color w:val="000000" w:themeColor="text1"/>
        </w:rPr>
        <w:t>b</w:t>
      </w:r>
      <w:r w:rsidRPr="00C7798B">
        <w:rPr>
          <w:rFonts w:ascii="Calibri" w:hAnsi="Calibri" w:cs="Calibri"/>
          <w:color w:val="000000" w:themeColor="text1"/>
        </w:rPr>
        <w:t xml:space="preserve">iegły </w:t>
      </w:r>
      <w:r w:rsidR="00405746">
        <w:rPr>
          <w:rFonts w:ascii="Calibri" w:hAnsi="Calibri" w:cs="Calibri"/>
          <w:color w:val="000000" w:themeColor="text1"/>
        </w:rPr>
        <w:t>r</w:t>
      </w:r>
      <w:r w:rsidRPr="00C7798B">
        <w:rPr>
          <w:rFonts w:ascii="Calibri" w:hAnsi="Calibri" w:cs="Calibri"/>
          <w:color w:val="000000" w:themeColor="text1"/>
        </w:rPr>
        <w:t>ewident prowadzący badanie jest bezpośrednio uprawniony do wyrażania stanowiska w zakresie zagadnień wymagających indywidualnego podejścia,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  <w:tab w:val="num" w:pos="709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polisę lub inny dokument ubezpieczenia potwierdzający, że Wykonawca jest ubezpieczony </w:t>
      </w:r>
      <w:r w:rsidRPr="00C7798B">
        <w:rPr>
          <w:rFonts w:ascii="Calibri" w:eastAsia="Times New Roman" w:hAnsi="Calibri" w:cs="Calibri"/>
          <w:lang w:eastAsia="pl-PL"/>
        </w:rPr>
        <w:br/>
        <w:t xml:space="preserve">od odpowiedzialności cywilnej w zakresie prowadzonej działalności gospodarczej, na kwotę </w:t>
      </w:r>
      <w:r w:rsidRPr="00C7798B">
        <w:rPr>
          <w:rFonts w:ascii="Calibri" w:eastAsia="Times New Roman" w:hAnsi="Calibri" w:cs="Calibri"/>
          <w:lang w:eastAsia="pl-PL"/>
        </w:rPr>
        <w:br/>
        <w:t>co najmniej odpowiadającą dwukrotności zaoferowanej ceny brutto za badane sprawozdania finansowe wraz z dokumentem potwierdzającym opłacenie składki z tytułu posiadanej polisy odpowiedzialności cywilnej,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informację o liczbie zatrudnionych biegłych rewidentów badających sprawozdania finansowe </w:t>
      </w:r>
      <w:r w:rsidR="00D52A24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>na terenie Polski,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oświadczenie Oferenta o spełnianiu przez biegłego rewidenta, który badał będzie wymienione </w:t>
      </w:r>
      <w:r w:rsidR="00D52A24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 xml:space="preserve">w </w:t>
      </w:r>
      <w:r w:rsidRPr="00C7798B">
        <w:rPr>
          <w:rFonts w:ascii="Calibri" w:hAnsi="Calibri" w:cs="Calibri"/>
        </w:rPr>
        <w:t>§ 1 pkt 4 sprawozdania i arkusze konsolidacyjne</w:t>
      </w:r>
      <w:r w:rsidRPr="00C7798B">
        <w:rPr>
          <w:rFonts w:ascii="Calibri" w:eastAsia="Times New Roman" w:hAnsi="Calibri" w:cs="Calibri"/>
          <w:lang w:eastAsia="pl-PL"/>
        </w:rPr>
        <w:t xml:space="preserve"> ustawowo określonych wymogów do wydawania bezstronnej i niezależnej opinii o badanym sprawozdaniu finansowym wyrażonej w sprawozdaniu niezależnego biegłego rewidenta z badania,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oświadczenie o </w:t>
      </w:r>
      <w:r w:rsidRPr="00C7798B">
        <w:rPr>
          <w:rFonts w:ascii="Calibri" w:hAnsi="Calibri" w:cs="Calibri"/>
        </w:rPr>
        <w:t xml:space="preserve">niezależności od spółek z GK PERN zgodnie z </w:t>
      </w:r>
      <w:bookmarkStart w:id="2" w:name="_Hlk27741138"/>
      <w:r w:rsidRPr="00C7798B">
        <w:rPr>
          <w:rFonts w:ascii="Calibri" w:hAnsi="Calibri" w:cs="Calibri"/>
        </w:rPr>
        <w:t>Międzynarodowym kodeksem etyki zawodowych księgowych (w tym Międzynarodowymi standardami niezależności), zwanym „Kodeksem IFAC”</w:t>
      </w:r>
      <w:bookmarkEnd w:id="2"/>
      <w:r w:rsidRPr="00C7798B">
        <w:rPr>
          <w:rFonts w:ascii="Calibri" w:hAnsi="Calibri" w:cs="Calibri"/>
        </w:rPr>
        <w:t>, przyjętym przez Krajową Radę Biegłych Rewidentów oraz z wymogami niezależności określonymi w ustawie o biegłych rewidentach.</w:t>
      </w:r>
    </w:p>
    <w:p w:rsidR="00882ABE" w:rsidRPr="00C7798B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aktualne (wystawione nie wcześniej niż 3 miesiące przed terminem składania ofert) zaświadczenie </w:t>
      </w:r>
      <w:r w:rsidRPr="00C7798B">
        <w:rPr>
          <w:rFonts w:ascii="Calibri" w:eastAsia="Times New Roman" w:hAnsi="Calibri" w:cs="Calibri"/>
          <w:lang w:eastAsia="pl-PL"/>
        </w:rPr>
        <w:br/>
        <w:t xml:space="preserve">z Urzędu Skarbowego i z ZUS o niezaleganiu w opłacaniu podatków i składek, </w:t>
      </w:r>
    </w:p>
    <w:p w:rsidR="00882ABE" w:rsidRPr="00405746" w:rsidRDefault="00882ABE" w:rsidP="00C7798B">
      <w:pPr>
        <w:numPr>
          <w:ilvl w:val="0"/>
          <w:numId w:val="6"/>
        </w:numPr>
        <w:tabs>
          <w:tab w:val="clear" w:pos="644"/>
        </w:tabs>
        <w:spacing w:before="100" w:beforeAutospacing="1" w:after="100" w:afterAutospacing="1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 xml:space="preserve">podanie </w:t>
      </w:r>
      <w:r w:rsidR="00A943FB" w:rsidRPr="00405746">
        <w:rPr>
          <w:rFonts w:ascii="Calibri" w:eastAsia="Times New Roman" w:hAnsi="Calibri" w:cs="Calibri"/>
          <w:lang w:eastAsia="pl-PL"/>
        </w:rPr>
        <w:t>liczby</w:t>
      </w:r>
      <w:r w:rsidRPr="00405746">
        <w:rPr>
          <w:rFonts w:ascii="Calibri" w:eastAsia="Times New Roman" w:hAnsi="Calibri" w:cs="Calibri"/>
          <w:lang w:eastAsia="pl-PL"/>
        </w:rPr>
        <w:t xml:space="preserve"> wykonanych badań jednostkowych sprawozdań finansowych na rzecz krajowych podmiotów działających w branży paliwowej, opisanych w </w:t>
      </w:r>
      <w:r w:rsidR="00B01970" w:rsidRPr="00405746">
        <w:rPr>
          <w:rFonts w:ascii="Calibri" w:eastAsia="Times New Roman" w:hAnsi="Calibri" w:cs="Calibri"/>
          <w:lang w:eastAsia="pl-PL"/>
        </w:rPr>
        <w:t>ust. 2</w:t>
      </w:r>
      <w:r w:rsidRPr="00405746">
        <w:rPr>
          <w:rFonts w:ascii="Calibri" w:eastAsia="Times New Roman" w:hAnsi="Calibri" w:cs="Calibri"/>
          <w:lang w:eastAsia="pl-PL"/>
        </w:rPr>
        <w:t xml:space="preserve"> wraz z wykazem badanych podmiotów oraz z załączeniem pisemnych referencji od tych podmiotów,</w:t>
      </w:r>
    </w:p>
    <w:p w:rsidR="00882ABE" w:rsidRPr="00405746" w:rsidRDefault="00882ABE" w:rsidP="00C7798B">
      <w:pPr>
        <w:numPr>
          <w:ilvl w:val="0"/>
          <w:numId w:val="6"/>
        </w:numPr>
        <w:tabs>
          <w:tab w:val="left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>podanie</w:t>
      </w:r>
      <w:r w:rsidR="00A943FB" w:rsidRPr="00405746">
        <w:rPr>
          <w:rFonts w:ascii="Calibri" w:eastAsia="Times New Roman" w:hAnsi="Calibri" w:cs="Calibri"/>
          <w:lang w:eastAsia="pl-PL"/>
        </w:rPr>
        <w:t xml:space="preserve"> liczby</w:t>
      </w:r>
      <w:r w:rsidRPr="00405746">
        <w:rPr>
          <w:rFonts w:ascii="Calibri" w:eastAsia="Times New Roman" w:hAnsi="Calibri" w:cs="Calibri"/>
          <w:lang w:eastAsia="pl-PL"/>
        </w:rPr>
        <w:t xml:space="preserve"> wykonanych badań jednostkowych sprawozdań finansowych ogółem na rzecz krajowych podmiotów, które łącznie spełniają niżej wymienione warunki:</w:t>
      </w:r>
    </w:p>
    <w:p w:rsidR="00882ABE" w:rsidRPr="00405746" w:rsidRDefault="00882ABE" w:rsidP="00C7798B">
      <w:pPr>
        <w:numPr>
          <w:ilvl w:val="0"/>
          <w:numId w:val="7"/>
        </w:numPr>
        <w:tabs>
          <w:tab w:val="clear" w:pos="720"/>
          <w:tab w:val="left" w:pos="180"/>
          <w:tab w:val="left" w:pos="709"/>
        </w:tabs>
        <w:spacing w:after="0" w:line="276" w:lineRule="auto"/>
        <w:ind w:left="1134" w:hanging="283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>przychody z tytułu działalności operacyjnej wynoszące w każdym roku obrotowym co najmniej 300 000 000 (słownie: trzysta milionów) zł netto,</w:t>
      </w:r>
    </w:p>
    <w:p w:rsidR="00882ABE" w:rsidRDefault="00882ABE" w:rsidP="00CD6B8B">
      <w:pPr>
        <w:numPr>
          <w:ilvl w:val="0"/>
          <w:numId w:val="7"/>
        </w:numPr>
        <w:tabs>
          <w:tab w:val="clear" w:pos="720"/>
          <w:tab w:val="left" w:pos="180"/>
          <w:tab w:val="left" w:pos="709"/>
        </w:tabs>
        <w:spacing w:after="0" w:line="240" w:lineRule="auto"/>
        <w:ind w:left="1134" w:hanging="283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>suma bilansowa wynosząca za każdy rok obrotowy co najmniej 900 000 000 (słownie: dziewięćset milionów) zł</w:t>
      </w:r>
      <w:r w:rsidR="00CD6B8B">
        <w:rPr>
          <w:rFonts w:ascii="Calibri" w:eastAsia="Times New Roman" w:hAnsi="Calibri" w:cs="Calibri"/>
          <w:lang w:eastAsia="pl-PL"/>
        </w:rPr>
        <w:t xml:space="preserve"> -</w:t>
      </w:r>
    </w:p>
    <w:p w:rsidR="00CD6B8B" w:rsidRPr="00405746" w:rsidRDefault="00CD6B8B" w:rsidP="00CD6B8B">
      <w:pPr>
        <w:spacing w:after="0" w:line="240" w:lineRule="auto"/>
        <w:ind w:left="709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>wraz z wykazem badanych podmiotów oraz z załączeniem pisemnych referencji od tych podmiotów,</w:t>
      </w:r>
    </w:p>
    <w:p w:rsidR="00882ABE" w:rsidRPr="00C7798B" w:rsidRDefault="00B01970" w:rsidP="00B01970">
      <w:pPr>
        <w:tabs>
          <w:tab w:val="left" w:pos="180"/>
          <w:tab w:val="left" w:pos="709"/>
          <w:tab w:val="left" w:pos="1620"/>
        </w:tabs>
        <w:spacing w:after="0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405746">
        <w:rPr>
          <w:rFonts w:ascii="Calibri" w:eastAsia="Times New Roman" w:hAnsi="Calibri" w:cs="Calibri"/>
          <w:lang w:eastAsia="pl-PL"/>
        </w:rPr>
        <w:t>17</w:t>
      </w:r>
      <w:r w:rsidR="00882ABE" w:rsidRPr="00405746">
        <w:rPr>
          <w:rFonts w:ascii="Calibri" w:eastAsia="Times New Roman" w:hAnsi="Calibri" w:cs="Calibri"/>
          <w:lang w:eastAsia="pl-PL"/>
        </w:rPr>
        <w:t>)</w:t>
      </w:r>
      <w:r w:rsidR="00882ABE" w:rsidRPr="00405746">
        <w:rPr>
          <w:rFonts w:ascii="Calibri" w:eastAsia="Times New Roman" w:hAnsi="Calibri" w:cs="Calibri"/>
          <w:lang w:eastAsia="pl-PL"/>
        </w:rPr>
        <w:tab/>
        <w:t xml:space="preserve">podanie </w:t>
      </w:r>
      <w:r w:rsidR="00A943FB" w:rsidRPr="00405746">
        <w:rPr>
          <w:rFonts w:ascii="Calibri" w:eastAsia="Times New Roman" w:hAnsi="Calibri" w:cs="Calibri"/>
          <w:lang w:eastAsia="pl-PL"/>
        </w:rPr>
        <w:t>liczby</w:t>
      </w:r>
      <w:r w:rsidR="00882ABE" w:rsidRPr="00405746">
        <w:rPr>
          <w:rFonts w:ascii="Calibri" w:eastAsia="Times New Roman" w:hAnsi="Calibri" w:cs="Calibri"/>
          <w:lang w:eastAsia="pl-PL"/>
        </w:rPr>
        <w:t xml:space="preserve"> wykonanych badań skonsolidowanych sprawozdań finansowych grup kapitałowych mających siedzibę w Polsce z branży paliwowej, w których co najmniej jedna spółka z grupy kapitałowej spełnia kryteria określone w </w:t>
      </w:r>
      <w:r w:rsidR="00C52910" w:rsidRPr="00405746">
        <w:rPr>
          <w:rFonts w:ascii="Calibri" w:eastAsia="Times New Roman" w:hAnsi="Calibri" w:cs="Calibri"/>
          <w:lang w:eastAsia="pl-PL"/>
        </w:rPr>
        <w:t>ust. 2</w:t>
      </w:r>
      <w:r w:rsidR="00882ABE" w:rsidRPr="00405746">
        <w:rPr>
          <w:rFonts w:ascii="Calibri" w:eastAsia="Times New Roman" w:hAnsi="Calibri" w:cs="Calibri"/>
          <w:lang w:eastAsia="pl-PL"/>
        </w:rPr>
        <w:t xml:space="preserve"> wraz z załączeniem pisemnych referencji od tych podmiotów,</w:t>
      </w:r>
    </w:p>
    <w:p w:rsidR="00882ABE" w:rsidRPr="00C7798B" w:rsidRDefault="00882ABE" w:rsidP="00C7798B">
      <w:pPr>
        <w:tabs>
          <w:tab w:val="left" w:pos="709"/>
          <w:tab w:val="left" w:pos="1440"/>
          <w:tab w:val="left" w:pos="1620"/>
        </w:tabs>
        <w:spacing w:after="0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1</w:t>
      </w:r>
      <w:r w:rsidR="00B01970">
        <w:rPr>
          <w:rFonts w:ascii="Calibri" w:eastAsia="Times New Roman" w:hAnsi="Calibri" w:cs="Calibri"/>
          <w:lang w:eastAsia="pl-PL"/>
        </w:rPr>
        <w:t>8</w:t>
      </w:r>
      <w:r w:rsidRPr="00C7798B">
        <w:rPr>
          <w:rFonts w:ascii="Calibri" w:eastAsia="Times New Roman" w:hAnsi="Calibri" w:cs="Calibri"/>
          <w:lang w:eastAsia="pl-PL"/>
        </w:rPr>
        <w:t>)</w:t>
      </w:r>
      <w:r w:rsidRPr="00C7798B">
        <w:rPr>
          <w:rFonts w:ascii="Calibri" w:eastAsia="Times New Roman" w:hAnsi="Calibri" w:cs="Calibri"/>
          <w:lang w:eastAsia="pl-PL"/>
        </w:rPr>
        <w:tab/>
        <w:t xml:space="preserve">zapewnienie przez </w:t>
      </w:r>
      <w:r w:rsidR="00897D6C">
        <w:rPr>
          <w:rFonts w:ascii="Calibri" w:eastAsia="Times New Roman" w:hAnsi="Calibri" w:cs="Calibri"/>
          <w:lang w:eastAsia="pl-PL"/>
        </w:rPr>
        <w:t>O</w:t>
      </w:r>
      <w:r w:rsidRPr="00C7798B">
        <w:rPr>
          <w:rFonts w:ascii="Calibri" w:eastAsia="Times New Roman" w:hAnsi="Calibri" w:cs="Calibri"/>
          <w:lang w:eastAsia="pl-PL"/>
        </w:rPr>
        <w:t>ferenta w składzie zespołu badającego Siarkopol Gdańsk S.A., osoby posiadającej doświadczenie w badaniu spółek działających w branży składowania i przeładunku w portach morskich.</w:t>
      </w:r>
    </w:p>
    <w:p w:rsidR="00882ABE" w:rsidRDefault="00B01970" w:rsidP="00C7798B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19</w:t>
      </w:r>
      <w:r w:rsidR="00882ABE" w:rsidRPr="00C7798B">
        <w:rPr>
          <w:rFonts w:ascii="Calibri" w:eastAsia="Times New Roman" w:hAnsi="Calibri" w:cs="Calibri"/>
          <w:lang w:eastAsia="pl-PL"/>
        </w:rPr>
        <w:t>)</w:t>
      </w:r>
      <w:r w:rsidR="00882ABE" w:rsidRPr="00C7798B">
        <w:rPr>
          <w:rFonts w:ascii="Calibri" w:eastAsia="Times New Roman" w:hAnsi="Calibri" w:cs="Calibri"/>
          <w:lang w:eastAsia="pl-PL"/>
        </w:rPr>
        <w:tab/>
        <w:t>zapewnienie w składzie zespołu badającego osoby posiadającej doświadczenie w badaniu spółek zajmujących się magazynowaniem i obrotem hurtowym paliwami.</w:t>
      </w:r>
    </w:p>
    <w:p w:rsidR="002248C1" w:rsidRPr="002248C1" w:rsidRDefault="002248C1" w:rsidP="00C7798B">
      <w:pPr>
        <w:tabs>
          <w:tab w:val="left" w:pos="709"/>
        </w:tabs>
        <w:spacing w:after="0" w:line="276" w:lineRule="auto"/>
        <w:ind w:left="709" w:hanging="425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B01970" w:rsidRDefault="00B01970" w:rsidP="00C7798B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</w:t>
      </w:r>
      <w:r w:rsidRPr="00C7798B">
        <w:rPr>
          <w:rFonts w:ascii="Calibri" w:eastAsia="Times New Roman" w:hAnsi="Calibri" w:cs="Calibri"/>
          <w:lang w:eastAsia="pl-PL"/>
        </w:rPr>
        <w:t xml:space="preserve">rzez podmioty działające w branży paliwowej należy rozumieć takie podmioty, dla których </w:t>
      </w:r>
      <w:r w:rsidRPr="00C7798B">
        <w:rPr>
          <w:rFonts w:ascii="Calibri" w:eastAsia="Times New Roman" w:hAnsi="Calibri" w:cs="Calibri"/>
          <w:lang w:eastAsia="pl-PL"/>
        </w:rPr>
        <w:br/>
        <w:t>jest to faktycznie wykonywana podstawowa działalność operacyjna</w:t>
      </w:r>
      <w:r>
        <w:rPr>
          <w:rFonts w:ascii="Calibri" w:eastAsia="Times New Roman" w:hAnsi="Calibri" w:cs="Calibri"/>
          <w:lang w:eastAsia="pl-PL"/>
        </w:rPr>
        <w:t>.</w:t>
      </w:r>
    </w:p>
    <w:p w:rsidR="002248C1" w:rsidRPr="002248C1" w:rsidRDefault="002248C1" w:rsidP="002248C1">
      <w:pPr>
        <w:spacing w:after="0" w:line="276" w:lineRule="auto"/>
        <w:ind w:left="360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:rsidR="00882ABE" w:rsidRPr="00C7798B" w:rsidRDefault="00882ABE" w:rsidP="00C7798B">
      <w:pPr>
        <w:numPr>
          <w:ilvl w:val="0"/>
          <w:numId w:val="8"/>
        </w:num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Warunki i oczekiwania wobec firmy audytorskiej:</w:t>
      </w:r>
    </w:p>
    <w:p w:rsidR="00882ABE" w:rsidRPr="00C7798B" w:rsidRDefault="00882ABE" w:rsidP="00C7798B">
      <w:pPr>
        <w:numPr>
          <w:ilvl w:val="0"/>
          <w:numId w:val="9"/>
        </w:numPr>
        <w:tabs>
          <w:tab w:val="clear" w:pos="360"/>
          <w:tab w:val="num" w:pos="709"/>
        </w:tabs>
        <w:spacing w:before="120" w:after="100" w:afterAutospacing="1" w:line="276" w:lineRule="auto"/>
        <w:ind w:left="709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uczestnictwo (obligatoryjne) biegłego rewidenta badającego sprawozdania finansowe w ramach umowy w posiedzeniach Rad Nadzorczych badanych spółek celem zaprezentowania i omówienia przeprowadzonych badań i ich wyników, </w:t>
      </w:r>
    </w:p>
    <w:p w:rsidR="00882ABE" w:rsidRPr="00C7798B" w:rsidRDefault="00882ABE" w:rsidP="00C7798B">
      <w:pPr>
        <w:numPr>
          <w:ilvl w:val="0"/>
          <w:numId w:val="9"/>
        </w:numPr>
        <w:tabs>
          <w:tab w:val="clear" w:pos="360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uczestnictwo, co najmniej raz w roku obrotowym w posiedzeniach Rady Nadzorczej celem omówienia sytuacji finansowej Spółki,</w:t>
      </w:r>
    </w:p>
    <w:p w:rsidR="00882ABE" w:rsidRPr="00C7798B" w:rsidRDefault="00882ABE" w:rsidP="00C7798B">
      <w:pPr>
        <w:numPr>
          <w:ilvl w:val="0"/>
          <w:numId w:val="9"/>
        </w:numPr>
        <w:tabs>
          <w:tab w:val="clear" w:pos="360"/>
          <w:tab w:val="num" w:pos="709"/>
        </w:tabs>
        <w:spacing w:before="100" w:beforeAutospacing="1" w:after="100" w:afterAutospacing="1" w:line="276" w:lineRule="auto"/>
        <w:ind w:left="709" w:hanging="283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 xml:space="preserve">obecność biegłego rewidenta na zwyczajnych/nadzwyczajnych zgromadzeniach wspólników/walnych zgromadzeniach zatwierdzających odpowiednio jednostkowe sprawozdania finansowe spółek wymienionych w </w:t>
      </w:r>
      <w:r w:rsidRPr="00C7798B">
        <w:rPr>
          <w:rFonts w:ascii="Calibri" w:hAnsi="Calibri" w:cs="Calibri"/>
        </w:rPr>
        <w:t xml:space="preserve">§ 1 </w:t>
      </w:r>
      <w:r w:rsidR="003D04B7">
        <w:rPr>
          <w:rFonts w:ascii="Calibri" w:hAnsi="Calibri" w:cs="Calibri"/>
        </w:rPr>
        <w:t>ust. 1</w:t>
      </w:r>
      <w:r w:rsidRPr="00C7798B">
        <w:rPr>
          <w:rFonts w:ascii="Calibri" w:hAnsi="Calibri" w:cs="Calibri"/>
        </w:rPr>
        <w:t xml:space="preserve"> </w:t>
      </w:r>
      <w:r w:rsidRPr="00C7798B">
        <w:rPr>
          <w:rFonts w:ascii="Calibri" w:eastAsia="Times New Roman" w:hAnsi="Calibri" w:cs="Calibri"/>
          <w:lang w:eastAsia="pl-PL"/>
        </w:rPr>
        <w:t>za lata obrotowe 202</w:t>
      </w:r>
      <w:r w:rsidR="00D34659" w:rsidRPr="00C7798B">
        <w:rPr>
          <w:rFonts w:ascii="Calibri" w:eastAsia="Times New Roman" w:hAnsi="Calibri" w:cs="Calibri"/>
          <w:lang w:eastAsia="pl-PL"/>
        </w:rPr>
        <w:t>4</w:t>
      </w:r>
      <w:r w:rsidRPr="00C7798B">
        <w:rPr>
          <w:rFonts w:ascii="Calibri" w:eastAsia="Times New Roman" w:hAnsi="Calibri" w:cs="Calibri"/>
          <w:lang w:eastAsia="pl-PL"/>
        </w:rPr>
        <w:t xml:space="preserve"> i 202</w:t>
      </w:r>
      <w:r w:rsidR="00D34659" w:rsidRPr="00C7798B">
        <w:rPr>
          <w:rFonts w:ascii="Calibri" w:eastAsia="Times New Roman" w:hAnsi="Calibri" w:cs="Calibri"/>
          <w:lang w:eastAsia="pl-PL"/>
        </w:rPr>
        <w:t>5</w:t>
      </w:r>
      <w:r w:rsidRPr="00C7798B">
        <w:rPr>
          <w:rFonts w:ascii="Calibri" w:eastAsia="Times New Roman" w:hAnsi="Calibri" w:cs="Calibri"/>
          <w:lang w:eastAsia="pl-PL"/>
        </w:rPr>
        <w:t xml:space="preserve"> i skonsolidowane sprawozdania finansowe Grupy Kapitałowej PERN za lata obrotowe 202</w:t>
      </w:r>
      <w:r w:rsidR="00D34659" w:rsidRPr="00C7798B">
        <w:rPr>
          <w:rFonts w:ascii="Calibri" w:eastAsia="Times New Roman" w:hAnsi="Calibri" w:cs="Calibri"/>
          <w:lang w:eastAsia="pl-PL"/>
        </w:rPr>
        <w:t>4</w:t>
      </w:r>
      <w:r w:rsidRPr="00C7798B">
        <w:rPr>
          <w:rFonts w:ascii="Calibri" w:eastAsia="Times New Roman" w:hAnsi="Calibri" w:cs="Calibri"/>
          <w:lang w:eastAsia="pl-PL"/>
        </w:rPr>
        <w:t xml:space="preserve"> i 202</w:t>
      </w:r>
      <w:r w:rsidR="00D34659" w:rsidRPr="00C7798B">
        <w:rPr>
          <w:rFonts w:ascii="Calibri" w:eastAsia="Times New Roman" w:hAnsi="Calibri" w:cs="Calibri"/>
          <w:lang w:eastAsia="pl-PL"/>
        </w:rPr>
        <w:t>5</w:t>
      </w:r>
      <w:r w:rsidRPr="00C7798B">
        <w:rPr>
          <w:rFonts w:ascii="Calibri" w:eastAsia="Times New Roman" w:hAnsi="Calibri" w:cs="Calibri"/>
          <w:lang w:eastAsia="pl-PL"/>
        </w:rPr>
        <w:t xml:space="preserve"> </w:t>
      </w:r>
      <w:r w:rsidR="00B01970">
        <w:rPr>
          <w:rFonts w:ascii="Calibri" w:eastAsia="Times New Roman" w:hAnsi="Calibri" w:cs="Calibri"/>
          <w:lang w:eastAsia="pl-PL"/>
        </w:rPr>
        <w:t xml:space="preserve">oraz </w:t>
      </w:r>
      <w:r w:rsidR="00B01970" w:rsidRPr="00C7798B">
        <w:rPr>
          <w:rFonts w:ascii="Calibri" w:eastAsia="Times New Roman" w:hAnsi="Calibri" w:cs="Calibri"/>
          <w:lang w:eastAsia="pl-PL"/>
        </w:rPr>
        <w:t>badani</w:t>
      </w:r>
      <w:r w:rsidR="00B01970">
        <w:rPr>
          <w:rFonts w:ascii="Calibri" w:eastAsia="Times New Roman" w:hAnsi="Calibri" w:cs="Calibri"/>
          <w:lang w:eastAsia="pl-PL"/>
        </w:rPr>
        <w:t>a</w:t>
      </w:r>
      <w:r w:rsidR="00B01970" w:rsidRPr="00C7798B">
        <w:rPr>
          <w:rFonts w:ascii="Calibri" w:eastAsia="Times New Roman" w:hAnsi="Calibri" w:cs="Calibri"/>
          <w:lang w:eastAsia="pl-PL"/>
        </w:rPr>
        <w:t xml:space="preserve"> sprawozdania </w:t>
      </w:r>
      <w:r w:rsidR="00B01970" w:rsidRPr="00C7798B">
        <w:rPr>
          <w:rFonts w:ascii="Calibri" w:hAnsi="Calibri" w:cs="Calibri"/>
        </w:rPr>
        <w:t xml:space="preserve">w zakresie zrównoważonego rozwoju PERN S.A. za rok obrotowy 2025 </w:t>
      </w:r>
      <w:r w:rsidRPr="00C7798B">
        <w:rPr>
          <w:rFonts w:ascii="Calibri" w:eastAsia="Times New Roman" w:hAnsi="Calibri" w:cs="Calibri"/>
          <w:lang w:eastAsia="pl-PL"/>
        </w:rPr>
        <w:t xml:space="preserve">w celu złożenia stosownych wyjaśnień </w:t>
      </w:r>
      <w:r w:rsidR="00B01970">
        <w:rPr>
          <w:rFonts w:ascii="Calibri" w:eastAsia="Times New Roman" w:hAnsi="Calibri" w:cs="Calibri"/>
          <w:lang w:eastAsia="pl-PL"/>
        </w:rPr>
        <w:br/>
      </w:r>
      <w:r w:rsidRPr="00C7798B">
        <w:rPr>
          <w:rFonts w:ascii="Calibri" w:eastAsia="Times New Roman" w:hAnsi="Calibri" w:cs="Calibri"/>
          <w:lang w:eastAsia="pl-PL"/>
        </w:rPr>
        <w:t>i informacji (o ile będzie to konieczne),</w:t>
      </w:r>
    </w:p>
    <w:p w:rsidR="00255FE8" w:rsidRPr="00255FE8" w:rsidRDefault="00882ABE" w:rsidP="00255FE8">
      <w:pPr>
        <w:numPr>
          <w:ilvl w:val="0"/>
          <w:numId w:val="9"/>
        </w:numPr>
        <w:tabs>
          <w:tab w:val="clear" w:pos="360"/>
          <w:tab w:val="num" w:pos="709"/>
        </w:tabs>
        <w:spacing w:before="100" w:beforeAutospacing="1" w:after="120" w:line="276" w:lineRule="auto"/>
        <w:ind w:left="709" w:hanging="284"/>
        <w:jc w:val="both"/>
        <w:rPr>
          <w:rFonts w:ascii="Calibri" w:eastAsia="Times New Roman" w:hAnsi="Calibri" w:cs="Calibri"/>
          <w:lang w:eastAsia="pl-PL"/>
        </w:rPr>
      </w:pPr>
      <w:r w:rsidRPr="00C7798B">
        <w:rPr>
          <w:rFonts w:ascii="Calibri" w:eastAsia="Times New Roman" w:hAnsi="Calibri" w:cs="Calibri"/>
          <w:lang w:eastAsia="pl-PL"/>
        </w:rPr>
        <w:t>przekazanie do wiadomości Rady Nadzorczej sporządzonych dla Zarządu w formie tzw. listu oświadczającego informacji o szczególnych zdarzeniach występujących w Spółkach.</w:t>
      </w:r>
    </w:p>
    <w:p w:rsidR="00882ABE" w:rsidRDefault="00882ABE" w:rsidP="002248C1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C7798B">
        <w:rPr>
          <w:rFonts w:ascii="Calibri" w:eastAsia="Times New Roman" w:hAnsi="Calibri" w:cs="Calibri"/>
          <w:b/>
          <w:lang w:eastAsia="pl-PL"/>
        </w:rPr>
        <w:t>§ 3.</w:t>
      </w:r>
    </w:p>
    <w:p w:rsidR="002248C1" w:rsidRPr="002248C1" w:rsidRDefault="002248C1" w:rsidP="002248C1">
      <w:pPr>
        <w:tabs>
          <w:tab w:val="left" w:pos="360"/>
        </w:tabs>
        <w:spacing w:after="0" w:line="276" w:lineRule="auto"/>
        <w:jc w:val="center"/>
        <w:rPr>
          <w:rFonts w:ascii="Calibri" w:eastAsia="Times New Roman" w:hAnsi="Calibri" w:cs="Calibri"/>
          <w:b/>
          <w:sz w:val="6"/>
          <w:szCs w:val="6"/>
          <w:lang w:eastAsia="pl-PL"/>
        </w:rPr>
      </w:pPr>
    </w:p>
    <w:p w:rsidR="00882ABE" w:rsidRPr="00DB582D" w:rsidRDefault="00882ABE" w:rsidP="002248C1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Dokonując oceny złożonych ofert</w:t>
      </w:r>
      <w:r>
        <w:rPr>
          <w:rFonts w:eastAsia="Times New Roman" w:cs="Arial"/>
          <w:lang w:eastAsia="pl-PL"/>
        </w:rPr>
        <w:t>,</w:t>
      </w:r>
      <w:r w:rsidRPr="00DB582D">
        <w:rPr>
          <w:rFonts w:eastAsia="Times New Roman" w:cs="Arial"/>
          <w:lang w:eastAsia="pl-PL"/>
        </w:rPr>
        <w:t xml:space="preserve"> Rada Nadzorcza będzie się kierować następującymi kryteriami: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"/>
        <w:gridCol w:w="2280"/>
        <w:gridCol w:w="623"/>
      </w:tblGrid>
      <w:tr w:rsidR="00882ABE" w:rsidRPr="00DB582D" w:rsidTr="00FF6065">
        <w:trPr>
          <w:tblCellSpacing w:w="15" w:type="dxa"/>
        </w:trPr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1.</w:t>
            </w:r>
          </w:p>
        </w:tc>
        <w:tc>
          <w:tcPr>
            <w:tcW w:w="2250" w:type="dxa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- 60 %</w:t>
            </w:r>
          </w:p>
        </w:tc>
      </w:tr>
      <w:tr w:rsidR="00882ABE" w:rsidRPr="00DB582D" w:rsidTr="00FF6065">
        <w:trPr>
          <w:tblCellSpacing w:w="15" w:type="dxa"/>
        </w:trPr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2.</w:t>
            </w:r>
          </w:p>
        </w:tc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znajomość branży</w:t>
            </w:r>
          </w:p>
        </w:tc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- 20 %</w:t>
            </w:r>
          </w:p>
        </w:tc>
      </w:tr>
      <w:tr w:rsidR="00882ABE" w:rsidRPr="00DB582D" w:rsidTr="00FF6065">
        <w:trPr>
          <w:tblCellSpacing w:w="15" w:type="dxa"/>
        </w:trPr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3.</w:t>
            </w:r>
          </w:p>
        </w:tc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doświadczenie</w:t>
            </w:r>
          </w:p>
        </w:tc>
        <w:tc>
          <w:tcPr>
            <w:tcW w:w="0" w:type="auto"/>
            <w:vAlign w:val="center"/>
          </w:tcPr>
          <w:p w:rsidR="00882ABE" w:rsidRPr="00DB582D" w:rsidRDefault="00882ABE" w:rsidP="00FF606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B582D">
              <w:rPr>
                <w:rFonts w:eastAsia="Times New Roman" w:cs="Arial"/>
                <w:lang w:eastAsia="pl-PL"/>
              </w:rPr>
              <w:t>- 20%</w:t>
            </w:r>
          </w:p>
        </w:tc>
      </w:tr>
    </w:tbl>
    <w:p w:rsidR="00882ABE" w:rsidRDefault="00882ABE" w:rsidP="00882ABE">
      <w:pPr>
        <w:tabs>
          <w:tab w:val="left" w:pos="1080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DB582D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b/>
          <w:bCs/>
          <w:lang w:eastAsia="pl-PL"/>
        </w:rPr>
        <w:t>Kryterium</w:t>
      </w:r>
      <w:r w:rsidRPr="00DB582D">
        <w:rPr>
          <w:rFonts w:eastAsia="Times New Roman" w:cs="Arial"/>
          <w:b/>
          <w:bCs/>
          <w:lang w:eastAsia="pl-PL"/>
        </w:rPr>
        <w:tab/>
        <w:t>1</w:t>
      </w:r>
    </w:p>
    <w:p w:rsidR="00882ABE" w:rsidRDefault="00882ABE" w:rsidP="00882ABE">
      <w:pPr>
        <w:tabs>
          <w:tab w:val="left" w:pos="1080"/>
        </w:tabs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Ocena </w:t>
      </w:r>
      <w:r w:rsidRPr="00DB582D">
        <w:rPr>
          <w:rFonts w:eastAsia="Times New Roman" w:cs="Arial"/>
          <w:lang w:eastAsia="pl-PL"/>
        </w:rPr>
        <w:t xml:space="preserve">będzie dokonywana poprzez porównanie danych zawartych w ofertach do ceny najniższej wśród zaproponowanych. Najwyższa </w:t>
      </w:r>
      <w:r w:rsidR="00CF397C">
        <w:rPr>
          <w:rFonts w:eastAsia="Times New Roman" w:cs="Arial"/>
          <w:lang w:eastAsia="pl-PL"/>
        </w:rPr>
        <w:t>liczba</w:t>
      </w:r>
      <w:r w:rsidRPr="00DB582D">
        <w:rPr>
          <w:rFonts w:eastAsia="Times New Roman" w:cs="Arial"/>
          <w:lang w:eastAsia="pl-PL"/>
        </w:rPr>
        <w:t xml:space="preserve"> punktów, jaką można otrzymać za to kryterium wynosi 60. </w:t>
      </w:r>
      <w:r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>Punkty za kryterium będą obliczone wg wzoru:</w:t>
      </w:r>
    </w:p>
    <w:p w:rsidR="00255FE8" w:rsidRPr="00255FE8" w:rsidRDefault="00255FE8" w:rsidP="00882ABE">
      <w:pPr>
        <w:tabs>
          <w:tab w:val="left" w:pos="1080"/>
        </w:tabs>
        <w:spacing w:after="0" w:line="240" w:lineRule="auto"/>
        <w:jc w:val="both"/>
        <w:rPr>
          <w:rFonts w:eastAsia="Times New Roman" w:cs="Arial"/>
          <w:sz w:val="10"/>
          <w:szCs w:val="10"/>
          <w:lang w:eastAsia="pl-PL"/>
        </w:rPr>
      </w:pPr>
    </w:p>
    <w:p w:rsidR="00255FE8" w:rsidRDefault="00882ABE" w:rsidP="00882ABE"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Arial"/>
          <w:lang w:eastAsia="pl-PL"/>
        </w:rPr>
      </w:pP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kl</w:t>
      </w:r>
      <w:proofErr w:type="spellEnd"/>
      <w:r w:rsidRPr="00DB582D">
        <w:rPr>
          <w:rFonts w:eastAsia="Times New Roman" w:cs="Arial"/>
          <w:b/>
          <w:bCs/>
          <w:lang w:eastAsia="pl-PL"/>
        </w:rPr>
        <w:t xml:space="preserve"> = </w:t>
      </w:r>
      <w:proofErr w:type="spellStart"/>
      <w:r w:rsidRPr="00DB582D">
        <w:rPr>
          <w:rFonts w:eastAsia="Times New Roman" w:cs="Arial"/>
          <w:b/>
          <w:bCs/>
          <w:lang w:eastAsia="pl-PL"/>
        </w:rPr>
        <w:t>C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min</w:t>
      </w:r>
      <w:proofErr w:type="spellEnd"/>
      <w:r w:rsidRPr="00DB582D">
        <w:rPr>
          <w:rFonts w:eastAsia="Times New Roman" w:cs="Arial"/>
          <w:b/>
          <w:bCs/>
          <w:lang w:eastAsia="pl-PL"/>
        </w:rPr>
        <w:t xml:space="preserve"> / </w:t>
      </w:r>
      <w:proofErr w:type="spellStart"/>
      <w:r w:rsidRPr="00DB582D">
        <w:rPr>
          <w:rFonts w:eastAsia="Times New Roman" w:cs="Arial"/>
          <w:b/>
          <w:bCs/>
          <w:lang w:eastAsia="pl-PL"/>
        </w:rPr>
        <w:t>C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Pr="00DB582D">
        <w:rPr>
          <w:rFonts w:eastAsia="Times New Roman" w:cs="Arial"/>
          <w:b/>
          <w:bCs/>
          <w:lang w:eastAsia="pl-PL"/>
        </w:rPr>
        <w:t xml:space="preserve"> x 60 pkt</w:t>
      </w:r>
      <w:r w:rsidRPr="00DB582D">
        <w:rPr>
          <w:rFonts w:eastAsia="Times New Roman" w:cs="Arial"/>
          <w:lang w:eastAsia="pl-PL"/>
        </w:rPr>
        <w:br/>
      </w: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</w:tabs>
        <w:spacing w:after="0" w:line="240" w:lineRule="auto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gdzie:</w:t>
      </w:r>
      <w:r w:rsidRPr="00DB582D">
        <w:rPr>
          <w:rFonts w:eastAsia="Times New Roman" w:cs="Arial"/>
          <w:lang w:eastAsia="pl-PL"/>
        </w:rPr>
        <w:br/>
      </w: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kl</w:t>
      </w:r>
      <w:proofErr w:type="spellEnd"/>
      <w:r w:rsidRPr="00DB582D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ab/>
      </w:r>
      <w:r w:rsidRPr="00DB582D">
        <w:rPr>
          <w:rFonts w:eastAsia="Times New Roman" w:cs="Arial"/>
          <w:lang w:eastAsia="pl-PL"/>
        </w:rPr>
        <w:tab/>
        <w:t>- punkty uzyskane za dane kryterium przez oferenta "n",</w:t>
      </w:r>
      <w:r w:rsidRPr="00DB582D">
        <w:rPr>
          <w:rFonts w:eastAsia="Times New Roman" w:cs="Arial"/>
          <w:lang w:eastAsia="pl-PL"/>
        </w:rPr>
        <w:br/>
      </w:r>
      <w:proofErr w:type="spellStart"/>
      <w:r w:rsidRPr="00DB582D">
        <w:rPr>
          <w:rFonts w:eastAsia="Times New Roman" w:cs="Arial"/>
          <w:b/>
          <w:bCs/>
          <w:lang w:eastAsia="pl-PL"/>
        </w:rPr>
        <w:t>C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min</w:t>
      </w:r>
      <w:proofErr w:type="spellEnd"/>
      <w:r w:rsidRPr="00DB582D">
        <w:rPr>
          <w:rFonts w:eastAsia="Times New Roman" w:cs="Arial"/>
          <w:lang w:eastAsia="pl-PL"/>
        </w:rPr>
        <w:t xml:space="preserve">  - najniższa cena wśród zaproponowanych przez oferentów</w:t>
      </w:r>
      <w:r w:rsidR="00CF397C">
        <w:rPr>
          <w:rFonts w:eastAsia="Times New Roman" w:cs="Arial"/>
          <w:lang w:eastAsia="pl-PL"/>
        </w:rPr>
        <w:t xml:space="preserve"> „n”</w:t>
      </w:r>
      <w:r w:rsidRPr="00DB582D">
        <w:rPr>
          <w:rFonts w:eastAsia="Times New Roman" w:cs="Arial"/>
          <w:lang w:eastAsia="pl-PL"/>
        </w:rPr>
        <w:t>,</w:t>
      </w:r>
      <w:r w:rsidRPr="00DB582D">
        <w:rPr>
          <w:rFonts w:eastAsia="Times New Roman" w:cs="Arial"/>
          <w:lang w:eastAsia="pl-PL"/>
        </w:rPr>
        <w:br/>
      </w:r>
      <w:proofErr w:type="spellStart"/>
      <w:r w:rsidRPr="00DB582D">
        <w:rPr>
          <w:rFonts w:eastAsia="Times New Roman" w:cs="Arial"/>
          <w:b/>
          <w:bCs/>
          <w:lang w:eastAsia="pl-PL"/>
        </w:rPr>
        <w:t>C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Pr="00DB582D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ab/>
      </w:r>
      <w:r w:rsidRPr="00DB582D">
        <w:rPr>
          <w:rFonts w:eastAsia="Times New Roman" w:cs="Arial"/>
          <w:lang w:eastAsia="pl-PL"/>
        </w:rPr>
        <w:tab/>
        <w:t>- cena zaproponowana przez oferenta "n".</w:t>
      </w:r>
      <w:r w:rsidRPr="00DB582D">
        <w:rPr>
          <w:rFonts w:eastAsia="Times New Roman" w:cs="Arial"/>
          <w:lang w:eastAsia="pl-PL"/>
        </w:rPr>
        <w:br/>
      </w:r>
    </w:p>
    <w:p w:rsidR="00882ABE" w:rsidRDefault="00882ABE" w:rsidP="00882ABE">
      <w:pPr>
        <w:tabs>
          <w:tab w:val="left" w:pos="900"/>
          <w:tab w:val="left" w:pos="108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Kryterium</w:t>
      </w:r>
      <w:r w:rsidRPr="00DB582D">
        <w:rPr>
          <w:rFonts w:eastAsia="Times New Roman" w:cs="Arial"/>
          <w:b/>
          <w:bCs/>
          <w:lang w:eastAsia="pl-PL"/>
        </w:rPr>
        <w:tab/>
        <w:t>2</w:t>
      </w:r>
      <w:r w:rsidRPr="00DB582D">
        <w:rPr>
          <w:rFonts w:eastAsia="Times New Roman" w:cs="Arial"/>
          <w:lang w:eastAsia="pl-PL"/>
        </w:rPr>
        <w:br/>
      </w:r>
      <w:r w:rsidRPr="003D04B7">
        <w:rPr>
          <w:rFonts w:eastAsia="Times New Roman" w:cs="Arial"/>
          <w:lang w:eastAsia="pl-PL"/>
        </w:rPr>
        <w:t xml:space="preserve">Ocena znajomości branży dokonana zostanie na podstawie </w:t>
      </w:r>
      <w:r w:rsidR="00CF397C" w:rsidRPr="003D04B7">
        <w:rPr>
          <w:rFonts w:eastAsia="Times New Roman" w:cs="Arial"/>
          <w:lang w:eastAsia="pl-PL"/>
        </w:rPr>
        <w:t>liczb</w:t>
      </w:r>
      <w:r w:rsidR="00B1744E" w:rsidRPr="003D04B7">
        <w:rPr>
          <w:rFonts w:eastAsia="Times New Roman" w:cs="Arial"/>
          <w:lang w:eastAsia="pl-PL"/>
        </w:rPr>
        <w:t>y</w:t>
      </w:r>
      <w:r w:rsidRPr="003D04B7">
        <w:rPr>
          <w:rFonts w:eastAsia="Times New Roman" w:cs="Arial"/>
          <w:lang w:eastAsia="pl-PL"/>
        </w:rPr>
        <w:t xml:space="preserve"> wykonanych badań sprawozdań finansowych w branży paliwowej. Najwyższa </w:t>
      </w:r>
      <w:r w:rsidR="00CF397C" w:rsidRPr="003D04B7">
        <w:rPr>
          <w:rFonts w:eastAsia="Times New Roman" w:cs="Arial"/>
          <w:lang w:eastAsia="pl-PL"/>
        </w:rPr>
        <w:t>liczba</w:t>
      </w:r>
      <w:r w:rsidRPr="003D04B7">
        <w:rPr>
          <w:rFonts w:eastAsia="Times New Roman" w:cs="Arial"/>
          <w:lang w:eastAsia="pl-PL"/>
        </w:rPr>
        <w:t xml:space="preserve"> punktów, jaką można otrzymać za to kryterium wynosi 20. Punkty zostaną obliczone wg wzoru:</w:t>
      </w:r>
    </w:p>
    <w:p w:rsidR="00255FE8" w:rsidRPr="00255FE8" w:rsidRDefault="00255FE8" w:rsidP="00882ABE">
      <w:pPr>
        <w:tabs>
          <w:tab w:val="left" w:pos="900"/>
          <w:tab w:val="left" w:pos="1080"/>
        </w:tabs>
        <w:spacing w:after="0" w:line="240" w:lineRule="auto"/>
        <w:jc w:val="both"/>
        <w:rPr>
          <w:rFonts w:eastAsia="Times New Roman" w:cs="Arial"/>
          <w:sz w:val="10"/>
          <w:szCs w:val="10"/>
          <w:lang w:eastAsia="pl-PL"/>
        </w:rPr>
      </w:pPr>
    </w:p>
    <w:p w:rsidR="00882ABE" w:rsidRPr="00DB582D" w:rsidRDefault="00882ABE" w:rsidP="00882ABE">
      <w:pPr>
        <w:tabs>
          <w:tab w:val="left" w:pos="360"/>
        </w:tabs>
        <w:spacing w:after="0" w:line="240" w:lineRule="auto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P = 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b</w:t>
      </w:r>
      <w:r w:rsidRPr="00DB582D">
        <w:rPr>
          <w:rFonts w:eastAsia="Times New Roman" w:cs="Arial"/>
          <w:b/>
          <w:bCs/>
          <w:lang w:eastAsia="pl-PL"/>
        </w:rPr>
        <w:t xml:space="preserve"> / </w:t>
      </w: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Pr="00DB582D">
        <w:rPr>
          <w:rFonts w:eastAsia="Times New Roman" w:cs="Arial"/>
          <w:b/>
          <w:bCs/>
          <w:lang w:eastAsia="pl-PL"/>
        </w:rPr>
        <w:t xml:space="preserve"> x 20 pkt</w:t>
      </w:r>
      <w:r w:rsidRPr="00DB582D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br/>
        <w:t>gdzie:</w:t>
      </w:r>
      <w:r w:rsidRPr="00DB582D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ab/>
        <w:t>- liczba punktów otrzymanych w danym kryterium,</w:t>
      </w:r>
      <w:r w:rsidRPr="00DB582D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b</w:t>
      </w:r>
      <w:r w:rsidRPr="00DB582D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ab/>
        <w:t xml:space="preserve">- liczba </w:t>
      </w:r>
      <w:r w:rsidR="00CD4F95">
        <w:rPr>
          <w:rFonts w:eastAsia="Times New Roman" w:cs="Arial"/>
          <w:lang w:eastAsia="pl-PL"/>
        </w:rPr>
        <w:t xml:space="preserve">wykonanych badań </w:t>
      </w:r>
      <w:r w:rsidR="00CF397C">
        <w:rPr>
          <w:rFonts w:eastAsia="Times New Roman" w:cs="Arial"/>
          <w:lang w:eastAsia="pl-PL"/>
        </w:rPr>
        <w:t>w branży paliwowej oferenta „n”</w:t>
      </w:r>
      <w:r w:rsidRPr="00DB582D">
        <w:rPr>
          <w:rFonts w:eastAsia="Times New Roman" w:cs="Arial"/>
          <w:lang w:eastAsia="pl-PL"/>
        </w:rPr>
        <w:t xml:space="preserve">, </w:t>
      </w:r>
      <w:r w:rsidRPr="00DB582D">
        <w:rPr>
          <w:rFonts w:eastAsia="Times New Roman" w:cs="Arial"/>
          <w:lang w:eastAsia="pl-PL"/>
        </w:rPr>
        <w:br/>
      </w: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Pr="00DB582D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ab/>
        <w:t xml:space="preserve">- najwyższa liczba </w:t>
      </w:r>
      <w:r w:rsidR="00CF397C">
        <w:rPr>
          <w:rFonts w:eastAsia="Times New Roman" w:cs="Arial"/>
          <w:lang w:eastAsia="pl-PL"/>
        </w:rPr>
        <w:t xml:space="preserve">wykonanych badań </w:t>
      </w:r>
      <w:r w:rsidRPr="00DB582D">
        <w:rPr>
          <w:rFonts w:eastAsia="Times New Roman" w:cs="Arial"/>
          <w:lang w:eastAsia="pl-PL"/>
        </w:rPr>
        <w:t>spośród ważnych ofert.</w:t>
      </w:r>
      <w:r w:rsidRPr="00DB582D">
        <w:rPr>
          <w:rFonts w:eastAsia="Times New Roman" w:cs="Arial"/>
          <w:lang w:eastAsia="pl-PL"/>
        </w:rPr>
        <w:br/>
      </w:r>
    </w:p>
    <w:p w:rsidR="00882ABE" w:rsidRPr="00DB582D" w:rsidRDefault="00882ABE" w:rsidP="00882ABE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Za znajomość branży będą przyznawane punkty w w</w:t>
      </w:r>
      <w:r>
        <w:rPr>
          <w:rFonts w:eastAsia="Times New Roman" w:cs="Arial"/>
          <w:lang w:eastAsia="pl-PL"/>
        </w:rPr>
        <w:t>ymienionych niżej przedziałach: najw</w:t>
      </w:r>
      <w:r w:rsidR="00B1744E">
        <w:rPr>
          <w:rFonts w:eastAsia="Times New Roman" w:cs="Arial"/>
          <w:lang w:eastAsia="pl-PL"/>
        </w:rPr>
        <w:t>yższa</w:t>
      </w:r>
      <w:r>
        <w:rPr>
          <w:rFonts w:eastAsia="Times New Roman" w:cs="Arial"/>
          <w:lang w:eastAsia="pl-PL"/>
        </w:rPr>
        <w:t xml:space="preserve"> liczba</w:t>
      </w:r>
      <w:r w:rsidRPr="00DB582D">
        <w:rPr>
          <w:rFonts w:eastAsia="Times New Roman" w:cs="Arial"/>
          <w:lang w:eastAsia="pl-PL"/>
        </w:rPr>
        <w:t xml:space="preserve"> przebadanych sprawozdań w ww. branży – 20 punktów. Brak przebadanych sprawozdań - 0 punktów.</w:t>
      </w:r>
    </w:p>
    <w:p w:rsidR="00882ABE" w:rsidRPr="00DB582D" w:rsidRDefault="00882ABE" w:rsidP="00882ABE">
      <w:pPr>
        <w:tabs>
          <w:tab w:val="left" w:pos="180"/>
          <w:tab w:val="left" w:pos="360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:rsidR="00882ABE" w:rsidRPr="00DB582D" w:rsidRDefault="00882ABE" w:rsidP="00882ABE">
      <w:pPr>
        <w:tabs>
          <w:tab w:val="left" w:pos="180"/>
          <w:tab w:val="left" w:pos="360"/>
          <w:tab w:val="left" w:pos="108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Kryterium</w:t>
      </w:r>
      <w:r w:rsidRPr="00DB582D">
        <w:rPr>
          <w:rFonts w:eastAsia="Times New Roman" w:cs="Arial"/>
          <w:b/>
          <w:bCs/>
          <w:lang w:eastAsia="pl-PL"/>
        </w:rPr>
        <w:tab/>
        <w:t>3</w:t>
      </w:r>
      <w:r w:rsidRPr="00DB582D">
        <w:rPr>
          <w:rFonts w:eastAsia="Times New Roman" w:cs="Arial"/>
          <w:lang w:eastAsia="pl-PL"/>
        </w:rPr>
        <w:br/>
        <w:t xml:space="preserve">Ocena doświadczenia dokonana zostanie na podstawie </w:t>
      </w:r>
      <w:r w:rsidR="00CF397C">
        <w:rPr>
          <w:rFonts w:eastAsia="Times New Roman" w:cs="Arial"/>
          <w:lang w:eastAsia="pl-PL"/>
        </w:rPr>
        <w:t>l</w:t>
      </w:r>
      <w:r w:rsidRPr="00DB582D">
        <w:rPr>
          <w:rFonts w:eastAsia="Times New Roman" w:cs="Arial"/>
          <w:lang w:eastAsia="pl-PL"/>
        </w:rPr>
        <w:t>i</w:t>
      </w:r>
      <w:r w:rsidR="00CF397C">
        <w:rPr>
          <w:rFonts w:eastAsia="Times New Roman" w:cs="Arial"/>
          <w:lang w:eastAsia="pl-PL"/>
        </w:rPr>
        <w:t>czby</w:t>
      </w:r>
      <w:r w:rsidRPr="00DB582D">
        <w:rPr>
          <w:rFonts w:eastAsia="Times New Roman" w:cs="Arial"/>
          <w:lang w:eastAsia="pl-PL"/>
        </w:rPr>
        <w:t xml:space="preserve"> wykona</w:t>
      </w:r>
      <w:r>
        <w:rPr>
          <w:rFonts w:eastAsia="Times New Roman" w:cs="Arial"/>
          <w:lang w:eastAsia="pl-PL"/>
        </w:rPr>
        <w:t xml:space="preserve">nych </w:t>
      </w:r>
      <w:r w:rsidRPr="00DB582D">
        <w:rPr>
          <w:rFonts w:eastAsia="Times New Roman" w:cs="Arial"/>
          <w:lang w:eastAsia="pl-PL"/>
        </w:rPr>
        <w:t>badań jednostkowych sprawozdań finansowych ogółem na rzecz krajowych podmiotów, które łącznie spełniają niżej wymienione warunki:</w:t>
      </w:r>
    </w:p>
    <w:p w:rsidR="00882ABE" w:rsidRPr="00DB582D" w:rsidRDefault="00882ABE" w:rsidP="00882ABE">
      <w:pPr>
        <w:numPr>
          <w:ilvl w:val="0"/>
          <w:numId w:val="11"/>
        </w:numPr>
        <w:tabs>
          <w:tab w:val="left" w:pos="360"/>
          <w:tab w:val="left" w:pos="426"/>
          <w:tab w:val="left" w:pos="1440"/>
          <w:tab w:val="left" w:pos="162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przychody wynoszące w każdym roku obrotowym co najmniej 300 000 000 (słownie: trzysta milionów) </w:t>
      </w:r>
      <w:r w:rsidR="00D52A24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>zł netto,</w:t>
      </w:r>
    </w:p>
    <w:p w:rsidR="00882ABE" w:rsidRPr="00DB582D" w:rsidRDefault="00882ABE" w:rsidP="00882ABE">
      <w:pPr>
        <w:numPr>
          <w:ilvl w:val="0"/>
          <w:numId w:val="11"/>
        </w:numPr>
        <w:tabs>
          <w:tab w:val="left" w:pos="360"/>
          <w:tab w:val="left" w:pos="1440"/>
          <w:tab w:val="left" w:pos="162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suma bilansowa wynosząca za każdy rok obrotowy co najmniej 900 000 000 (słownie: dziewięćset milionów) zł.</w:t>
      </w:r>
    </w:p>
    <w:p w:rsidR="00882ABE" w:rsidRPr="00DB582D" w:rsidRDefault="00882ABE" w:rsidP="00882ABE">
      <w:pPr>
        <w:tabs>
          <w:tab w:val="left" w:pos="180"/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Najwyższa </w:t>
      </w:r>
      <w:r w:rsidR="00CF397C">
        <w:rPr>
          <w:rFonts w:eastAsia="Times New Roman" w:cs="Arial"/>
          <w:lang w:eastAsia="pl-PL"/>
        </w:rPr>
        <w:t>liczba</w:t>
      </w:r>
      <w:r w:rsidRPr="00DB582D">
        <w:rPr>
          <w:rFonts w:eastAsia="Times New Roman" w:cs="Arial"/>
          <w:lang w:eastAsia="pl-PL"/>
        </w:rPr>
        <w:t xml:space="preserve"> punktów, jaką można otrzymać za to kryterium wynosi 20. Punkty zostaną obliczone </w:t>
      </w:r>
      <w:r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>wg wzoru:</w:t>
      </w:r>
    </w:p>
    <w:p w:rsidR="00882ABE" w:rsidRPr="00DB582D" w:rsidRDefault="00882ABE" w:rsidP="00882ABE">
      <w:pPr>
        <w:tabs>
          <w:tab w:val="left" w:pos="180"/>
          <w:tab w:val="left" w:pos="360"/>
          <w:tab w:val="left" w:pos="720"/>
          <w:tab w:val="left" w:pos="1440"/>
          <w:tab w:val="left" w:pos="1620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:rsidR="00882ABE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lang w:eastAsia="pl-PL"/>
        </w:rPr>
        <w:tab/>
        <w:t>=</w:t>
      </w:r>
      <w:r w:rsidRPr="00DB582D">
        <w:rPr>
          <w:rFonts w:eastAsia="Times New Roman" w:cs="Arial"/>
          <w:b/>
          <w:bCs/>
          <w:lang w:eastAsia="pl-PL"/>
        </w:rPr>
        <w:tab/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b</w:t>
      </w:r>
      <w:r w:rsidR="008E119D">
        <w:rPr>
          <w:rFonts w:eastAsia="Times New Roman" w:cs="Arial"/>
          <w:b/>
          <w:bCs/>
          <w:vertAlign w:val="subscript"/>
          <w:lang w:eastAsia="pl-PL"/>
        </w:rPr>
        <w:t xml:space="preserve"> </w:t>
      </w:r>
      <w:r w:rsidRPr="00DB582D">
        <w:rPr>
          <w:rFonts w:eastAsia="Times New Roman" w:cs="Arial"/>
          <w:b/>
          <w:bCs/>
          <w:lang w:eastAsia="pl-PL"/>
        </w:rPr>
        <w:t>/</w:t>
      </w:r>
      <w:r w:rsidRPr="00DB582D">
        <w:rPr>
          <w:rFonts w:eastAsia="Times New Roman" w:cs="Arial"/>
          <w:b/>
          <w:bCs/>
          <w:lang w:eastAsia="pl-PL"/>
        </w:rPr>
        <w:tab/>
      </w: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="00B1744E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="00B1744E">
        <w:rPr>
          <w:rFonts w:eastAsia="Times New Roman" w:cs="Arial"/>
          <w:b/>
          <w:bCs/>
          <w:vertAlign w:val="subscript"/>
          <w:lang w:eastAsia="pl-PL"/>
        </w:rPr>
        <w:t xml:space="preserve"> </w:t>
      </w:r>
      <w:r w:rsidRPr="00DB582D">
        <w:rPr>
          <w:rFonts w:eastAsia="Times New Roman" w:cs="Arial"/>
          <w:b/>
          <w:bCs/>
          <w:lang w:eastAsia="pl-PL"/>
        </w:rPr>
        <w:t>x 20 pkt</w:t>
      </w:r>
    </w:p>
    <w:p w:rsidR="00255FE8" w:rsidRPr="00DB582D" w:rsidRDefault="00255FE8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gdzie:</w:t>
      </w: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lang w:eastAsia="pl-PL"/>
        </w:rPr>
        <w:tab/>
      </w:r>
      <w:r w:rsidRPr="00DB582D">
        <w:rPr>
          <w:rFonts w:eastAsia="Times New Roman" w:cs="Arial"/>
          <w:b/>
          <w:bCs/>
          <w:lang w:eastAsia="pl-PL"/>
        </w:rPr>
        <w:tab/>
      </w:r>
      <w:r w:rsidRPr="00DB582D">
        <w:rPr>
          <w:rFonts w:eastAsia="Times New Roman" w:cs="Arial"/>
          <w:lang w:eastAsia="pl-PL"/>
        </w:rPr>
        <w:t>- liczba punktów otrzymanych w danym kryterium,</w:t>
      </w: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 xml:space="preserve">b 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ab/>
      </w:r>
      <w:r w:rsidRPr="00DB582D">
        <w:rPr>
          <w:rFonts w:eastAsia="Times New Roman" w:cs="Arial"/>
          <w:bCs/>
          <w:lang w:eastAsia="pl-PL"/>
        </w:rPr>
        <w:t xml:space="preserve">- </w:t>
      </w:r>
      <w:r w:rsidR="00CD4F95" w:rsidRPr="00DB582D">
        <w:rPr>
          <w:rFonts w:eastAsia="Times New Roman" w:cs="Arial"/>
          <w:lang w:eastAsia="pl-PL"/>
        </w:rPr>
        <w:t xml:space="preserve">liczba </w:t>
      </w:r>
      <w:r w:rsidR="00CD4F95">
        <w:rPr>
          <w:rFonts w:eastAsia="Times New Roman" w:cs="Arial"/>
          <w:lang w:eastAsia="pl-PL"/>
        </w:rPr>
        <w:t>wykonanych badań danego oferenta</w:t>
      </w:r>
      <w:r w:rsidR="00CF397C">
        <w:rPr>
          <w:rFonts w:eastAsia="Times New Roman" w:cs="Arial"/>
          <w:lang w:eastAsia="pl-PL"/>
        </w:rPr>
        <w:t xml:space="preserve"> „n”</w:t>
      </w:r>
      <w:r w:rsidR="00CD4F95" w:rsidRPr="00DB582D">
        <w:rPr>
          <w:rFonts w:eastAsia="Times New Roman" w:cs="Arial"/>
          <w:lang w:eastAsia="pl-PL"/>
        </w:rPr>
        <w:t>,</w:t>
      </w: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lang w:eastAsia="pl-PL"/>
        </w:rPr>
      </w:pPr>
      <w:proofErr w:type="spellStart"/>
      <w:r w:rsidRPr="00DB582D">
        <w:rPr>
          <w:rFonts w:eastAsia="Times New Roman" w:cs="Arial"/>
          <w:b/>
          <w:bCs/>
          <w:lang w:eastAsia="pl-PL"/>
        </w:rPr>
        <w:t>P</w:t>
      </w:r>
      <w:r w:rsidRPr="00DB582D">
        <w:rPr>
          <w:rFonts w:eastAsia="Times New Roman" w:cs="Arial"/>
          <w:b/>
          <w:bCs/>
          <w:vertAlign w:val="subscript"/>
          <w:lang w:eastAsia="pl-PL"/>
        </w:rPr>
        <w:t>n</w:t>
      </w:r>
      <w:proofErr w:type="spellEnd"/>
      <w:r w:rsidRPr="00DB582D">
        <w:rPr>
          <w:rFonts w:eastAsia="Times New Roman" w:cs="Arial"/>
          <w:bCs/>
          <w:vertAlign w:val="subscript"/>
          <w:lang w:eastAsia="pl-PL"/>
        </w:rPr>
        <w:t xml:space="preserve"> </w:t>
      </w:r>
      <w:r w:rsidRPr="00DB582D">
        <w:rPr>
          <w:rFonts w:eastAsia="Times New Roman" w:cs="Arial"/>
          <w:bCs/>
          <w:vertAlign w:val="subscript"/>
          <w:lang w:eastAsia="pl-PL"/>
        </w:rPr>
        <w:tab/>
      </w:r>
      <w:r w:rsidRPr="00DB582D">
        <w:rPr>
          <w:rFonts w:eastAsia="Times New Roman" w:cs="Arial"/>
          <w:bCs/>
          <w:lang w:eastAsia="pl-PL"/>
        </w:rPr>
        <w:t xml:space="preserve">- </w:t>
      </w:r>
      <w:r w:rsidRPr="00DB582D">
        <w:rPr>
          <w:rFonts w:eastAsia="Times New Roman" w:cs="Arial"/>
          <w:lang w:eastAsia="pl-PL"/>
        </w:rPr>
        <w:t>naj</w:t>
      </w:r>
      <w:r w:rsidR="00CF397C">
        <w:rPr>
          <w:rFonts w:eastAsia="Times New Roman" w:cs="Arial"/>
          <w:lang w:eastAsia="pl-PL"/>
        </w:rPr>
        <w:t>w</w:t>
      </w:r>
      <w:r w:rsidR="00B1744E">
        <w:rPr>
          <w:rFonts w:eastAsia="Times New Roman" w:cs="Arial"/>
          <w:lang w:eastAsia="pl-PL"/>
        </w:rPr>
        <w:t>yższa</w:t>
      </w:r>
      <w:r w:rsidRPr="00DB582D">
        <w:rPr>
          <w:rFonts w:eastAsia="Times New Roman" w:cs="Arial"/>
          <w:lang w:eastAsia="pl-PL"/>
        </w:rPr>
        <w:t xml:space="preserve"> liczba </w:t>
      </w:r>
      <w:r w:rsidR="00CF397C">
        <w:rPr>
          <w:rFonts w:eastAsia="Times New Roman" w:cs="Arial"/>
          <w:lang w:eastAsia="pl-PL"/>
        </w:rPr>
        <w:t xml:space="preserve">wykonanych badań </w:t>
      </w:r>
      <w:r w:rsidRPr="00DB582D">
        <w:rPr>
          <w:rFonts w:eastAsia="Times New Roman" w:cs="Arial"/>
          <w:lang w:eastAsia="pl-PL"/>
        </w:rPr>
        <w:t xml:space="preserve">spośród ważnych ofert. </w:t>
      </w:r>
    </w:p>
    <w:p w:rsidR="00882ABE" w:rsidRPr="00DB582D" w:rsidRDefault="00882ABE" w:rsidP="00882ABE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440"/>
          <w:tab w:val="left" w:pos="1620"/>
          <w:tab w:val="left" w:pos="1980"/>
          <w:tab w:val="left" w:pos="2160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:rsidR="00882ABE" w:rsidRPr="00DB582D" w:rsidRDefault="00882ABE" w:rsidP="00882ABE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Za doświadczenie będą przyznawane punkty w wy</w:t>
      </w:r>
      <w:r>
        <w:rPr>
          <w:rFonts w:eastAsia="Times New Roman" w:cs="Arial"/>
          <w:lang w:eastAsia="pl-PL"/>
        </w:rPr>
        <w:t>mienionych niżej przedziałach: najw</w:t>
      </w:r>
      <w:r w:rsidR="00B1744E">
        <w:rPr>
          <w:rFonts w:eastAsia="Times New Roman" w:cs="Arial"/>
          <w:lang w:eastAsia="pl-PL"/>
        </w:rPr>
        <w:t>yższa</w:t>
      </w:r>
      <w:r>
        <w:rPr>
          <w:rFonts w:eastAsia="Times New Roman" w:cs="Arial"/>
          <w:lang w:eastAsia="pl-PL"/>
        </w:rPr>
        <w:t xml:space="preserve"> liczba</w:t>
      </w:r>
      <w:r w:rsidRPr="00DB582D">
        <w:rPr>
          <w:rFonts w:eastAsia="Times New Roman" w:cs="Arial"/>
          <w:lang w:eastAsia="pl-PL"/>
        </w:rPr>
        <w:t xml:space="preserve"> przebadanych sprawozdań - 20 punktów.</w:t>
      </w:r>
    </w:p>
    <w:p w:rsidR="00882ABE" w:rsidRPr="00DB582D" w:rsidRDefault="00882ABE" w:rsidP="00882ABE">
      <w:pPr>
        <w:tabs>
          <w:tab w:val="left" w:pos="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Brak przebadanych sprawozdań - 0 punktów.</w:t>
      </w:r>
    </w:p>
    <w:p w:rsidR="00882ABE" w:rsidRPr="00DB582D" w:rsidRDefault="00882ABE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:rsidR="00882ABE" w:rsidRDefault="00882ABE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O wyborze najkorzystniejszej oferty zdecyduje najwyższa </w:t>
      </w:r>
      <w:r w:rsidR="00CF397C">
        <w:rPr>
          <w:rFonts w:eastAsia="Times New Roman" w:cs="Arial"/>
          <w:lang w:eastAsia="pl-PL"/>
        </w:rPr>
        <w:t>liczba</w:t>
      </w:r>
      <w:r w:rsidRPr="00DB582D">
        <w:rPr>
          <w:rFonts w:eastAsia="Times New Roman" w:cs="Arial"/>
          <w:lang w:eastAsia="pl-PL"/>
        </w:rPr>
        <w:t xml:space="preserve"> punktów uzyskanych łącznie za kryteria 1-3. </w:t>
      </w:r>
    </w:p>
    <w:p w:rsidR="00882ABE" w:rsidRDefault="00882ABE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:rsidR="00255FE8" w:rsidRDefault="00255FE8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52A24" w:rsidRDefault="00D52A24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52A24" w:rsidRDefault="00D52A24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882ABE" w:rsidRDefault="00882ABE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DB582D">
        <w:rPr>
          <w:rFonts w:eastAsia="Times New Roman" w:cs="Arial"/>
          <w:b/>
          <w:lang w:eastAsia="pl-PL"/>
        </w:rPr>
        <w:t>§ 4.</w:t>
      </w:r>
    </w:p>
    <w:p w:rsidR="00255FE8" w:rsidRPr="00255FE8" w:rsidRDefault="00255FE8" w:rsidP="00882ABE">
      <w:pPr>
        <w:tabs>
          <w:tab w:val="left" w:pos="0"/>
          <w:tab w:val="left" w:pos="540"/>
          <w:tab w:val="left" w:pos="720"/>
        </w:tabs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pl-PL"/>
        </w:rPr>
      </w:pPr>
    </w:p>
    <w:p w:rsidR="00882ABE" w:rsidRPr="004E3C49" w:rsidRDefault="00882ABE" w:rsidP="00D52A24">
      <w:p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1. </w:t>
      </w:r>
      <w:r w:rsidRPr="00DB582D">
        <w:rPr>
          <w:rFonts w:eastAsia="Times New Roman" w:cs="Arial"/>
          <w:lang w:eastAsia="pl-PL"/>
        </w:rPr>
        <w:tab/>
        <w:t xml:space="preserve">Oferty powinny być składane w zamkniętych kopertach z adnotacją na kopercie: </w:t>
      </w:r>
      <w:r w:rsidR="004E3C49" w:rsidRPr="004E3C49">
        <w:rPr>
          <w:rFonts w:eastAsia="Times New Roman" w:cs="Arial"/>
          <w:lang w:eastAsia="pl-PL"/>
        </w:rPr>
        <w:t xml:space="preserve">„Oferta na badanie sprawozdań finansowych spółek wchodzących w skład Grupy Kapitałowej PERN”, na adres: PERN S.A. </w:t>
      </w:r>
      <w:r w:rsidR="004E3C49">
        <w:rPr>
          <w:rFonts w:eastAsia="Times New Roman" w:cs="Arial"/>
          <w:lang w:eastAsia="pl-PL"/>
        </w:rPr>
        <w:br/>
      </w:r>
      <w:r w:rsidR="004E3C49" w:rsidRPr="004E3C49">
        <w:rPr>
          <w:rFonts w:eastAsia="Times New Roman" w:cs="Arial"/>
          <w:lang w:eastAsia="pl-PL"/>
        </w:rPr>
        <w:t xml:space="preserve">z siedzibą w Płocku 09 - 410, ul. Wyszogrodzka 133, przy czym za datę złożenia oferty uważa </w:t>
      </w:r>
      <w:r w:rsidR="00C71C3E">
        <w:rPr>
          <w:rFonts w:eastAsia="Times New Roman" w:cs="Arial"/>
          <w:lang w:eastAsia="pl-PL"/>
        </w:rPr>
        <w:br/>
      </w:r>
      <w:r w:rsidR="004E3C49" w:rsidRPr="004E3C49">
        <w:rPr>
          <w:rFonts w:eastAsia="Times New Roman" w:cs="Arial"/>
          <w:lang w:eastAsia="pl-PL"/>
        </w:rPr>
        <w:t xml:space="preserve">się jej dostarczenie pod wyżej wymieniony adres do Kancelarii Ogólnej do godziny 15.00 do dnia </w:t>
      </w:r>
      <w:r w:rsidR="00C71C3E">
        <w:rPr>
          <w:rFonts w:eastAsia="Times New Roman" w:cs="Arial"/>
          <w:lang w:eastAsia="pl-PL"/>
        </w:rPr>
        <w:br/>
      </w:r>
      <w:r w:rsidR="004E3C49" w:rsidRPr="004E3C49">
        <w:rPr>
          <w:rFonts w:eastAsia="Times New Roman" w:cs="Arial"/>
          <w:lang w:eastAsia="pl-PL"/>
        </w:rPr>
        <w:t>10.09.2024 roku.</w:t>
      </w:r>
    </w:p>
    <w:p w:rsidR="00882ABE" w:rsidRPr="00CD4F95" w:rsidRDefault="00882ABE" w:rsidP="00D52A24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Oferta powinna być złożona przez Oferentów łącznie na badanie jednostkowych sprawozdań finansowych PERN S.A. na dzień bilansowy oraz na inny dzień w ciągu roku obrotowego, jednostkowych sprawozdań finansowych spółek wchodzących w skład Grupy Kapitałowej PERN, skonsolidowanego sprawozdania finansowego Grupy Kapitałowej PERN</w:t>
      </w:r>
      <w:r w:rsidR="00CD4F95">
        <w:rPr>
          <w:rFonts w:eastAsia="Times New Roman" w:cs="Arial"/>
          <w:lang w:eastAsia="pl-PL"/>
        </w:rPr>
        <w:t xml:space="preserve">, </w:t>
      </w:r>
      <w:r w:rsidRPr="00DB582D">
        <w:rPr>
          <w:rFonts w:eastAsia="Times New Roman" w:cs="Arial"/>
          <w:lang w:eastAsia="pl-PL"/>
        </w:rPr>
        <w:t xml:space="preserve">arkuszy konsolidacyjnych spółek wchodzących </w:t>
      </w:r>
      <w:r w:rsidR="00CD4F95"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 xml:space="preserve">w skład Grupy Kapitałowej PERN </w:t>
      </w:r>
      <w:r w:rsidR="00CD4F95">
        <w:rPr>
          <w:rFonts w:eastAsia="Times New Roman" w:cs="Arial"/>
          <w:lang w:eastAsia="pl-PL"/>
        </w:rPr>
        <w:t xml:space="preserve">oraz </w:t>
      </w:r>
      <w:r w:rsidR="00CD4F95" w:rsidRPr="00C7798B">
        <w:rPr>
          <w:rFonts w:ascii="Calibri" w:eastAsia="Times New Roman" w:hAnsi="Calibri" w:cs="Calibri"/>
          <w:lang w:eastAsia="pl-PL"/>
        </w:rPr>
        <w:t xml:space="preserve">badanie sprawozdania </w:t>
      </w:r>
      <w:r w:rsidR="00CD4F95" w:rsidRPr="00C7798B">
        <w:rPr>
          <w:rFonts w:ascii="Calibri" w:hAnsi="Calibri" w:cs="Calibri"/>
        </w:rPr>
        <w:t>w zakresie zrównoważonego rozwoju PERN S.A. za rok obrotowy 2025</w:t>
      </w:r>
      <w:r w:rsidR="00CD4F95">
        <w:rPr>
          <w:rFonts w:ascii="Calibri" w:hAnsi="Calibri" w:cs="Calibri"/>
        </w:rPr>
        <w:t>.</w:t>
      </w:r>
    </w:p>
    <w:p w:rsidR="00CD4F95" w:rsidRPr="00CD4F95" w:rsidRDefault="00882ABE" w:rsidP="00D52A24">
      <w:pPr>
        <w:numPr>
          <w:ilvl w:val="0"/>
          <w:numId w:val="10"/>
        </w:numPr>
        <w:tabs>
          <w:tab w:val="left" w:pos="426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CD4F95">
        <w:rPr>
          <w:rFonts w:eastAsia="Times New Roman" w:cs="Arial"/>
          <w:lang w:eastAsia="pl-PL"/>
        </w:rPr>
        <w:t>Nie dopuszcza się składania ofert na badanie sprawozdań finansowych przez konsorcja oraz ofert częściowych</w:t>
      </w:r>
      <w:r w:rsidR="00CD4F95" w:rsidRPr="00CD4F95">
        <w:rPr>
          <w:rFonts w:eastAsia="Times New Roman" w:cs="Arial"/>
          <w:lang w:eastAsia="pl-PL"/>
        </w:rPr>
        <w:t>, tj. na badanie jednego z wymienionych sprawozdań finansowych.</w:t>
      </w:r>
    </w:p>
    <w:p w:rsidR="00882ABE" w:rsidRPr="00DB582D" w:rsidRDefault="00882ABE" w:rsidP="00D52A24">
      <w:pPr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4.</w:t>
      </w:r>
      <w:r w:rsidRPr="00DB582D">
        <w:rPr>
          <w:rFonts w:eastAsia="Times New Roman" w:cs="Arial"/>
          <w:lang w:eastAsia="pl-PL"/>
        </w:rPr>
        <w:tab/>
        <w:t>Oferty złożone z przekroczeniem terminu, o którym mowa w ust. 1</w:t>
      </w:r>
      <w:r w:rsidR="00405746">
        <w:rPr>
          <w:rFonts w:eastAsia="Times New Roman" w:cs="Arial"/>
          <w:lang w:eastAsia="pl-PL"/>
        </w:rPr>
        <w:t>,</w:t>
      </w:r>
      <w:r w:rsidRPr="00DB582D">
        <w:rPr>
          <w:rFonts w:eastAsia="Times New Roman" w:cs="Arial"/>
          <w:lang w:eastAsia="pl-PL"/>
        </w:rPr>
        <w:t xml:space="preserve"> nie podlegają rozpatrzeniu.</w:t>
      </w:r>
    </w:p>
    <w:p w:rsidR="00882ABE" w:rsidRPr="002248C1" w:rsidRDefault="0050643D" w:rsidP="00D52A24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Oferty zostaną otwarte w </w:t>
      </w:r>
      <w:r>
        <w:rPr>
          <w:rFonts w:eastAsia="Times New Roman" w:cs="Arial"/>
          <w:lang w:eastAsia="pl-PL"/>
        </w:rPr>
        <w:t>siedzibie</w:t>
      </w:r>
      <w:r w:rsidRPr="00DB582D">
        <w:rPr>
          <w:rFonts w:eastAsia="Times New Roman" w:cs="Arial"/>
          <w:lang w:eastAsia="pl-PL"/>
        </w:rPr>
        <w:t xml:space="preserve"> Spółki w </w:t>
      </w:r>
      <w:r>
        <w:rPr>
          <w:rFonts w:eastAsia="Times New Roman" w:cs="Arial"/>
          <w:lang w:eastAsia="pl-PL"/>
        </w:rPr>
        <w:t>Płocku</w:t>
      </w:r>
      <w:r w:rsidRPr="00DB582D">
        <w:rPr>
          <w:rFonts w:eastAsia="Times New Roman" w:cs="Arial"/>
          <w:lang w:eastAsia="pl-PL"/>
        </w:rPr>
        <w:t xml:space="preserve"> przy ul</w:t>
      </w:r>
      <w:r>
        <w:rPr>
          <w:rFonts w:eastAsia="Times New Roman" w:cs="Arial"/>
          <w:lang w:eastAsia="pl-PL"/>
        </w:rPr>
        <w:t xml:space="preserve">icy Wyszogrodzkiej 133 w dniu </w:t>
      </w:r>
      <w:r w:rsidR="000224E9">
        <w:rPr>
          <w:rFonts w:eastAsia="Times New Roman" w:cs="Arial"/>
          <w:u w:val="single"/>
          <w:lang w:eastAsia="pl-PL"/>
        </w:rPr>
        <w:t>11</w:t>
      </w:r>
      <w:r>
        <w:rPr>
          <w:rFonts w:eastAsia="Times New Roman" w:cs="Arial"/>
          <w:u w:val="single"/>
          <w:lang w:eastAsia="pl-PL"/>
        </w:rPr>
        <w:t>.09.2024</w:t>
      </w:r>
      <w:r w:rsidRPr="00DB582D">
        <w:rPr>
          <w:rFonts w:eastAsia="Times New Roman" w:cs="Arial"/>
          <w:lang w:eastAsia="pl-PL"/>
        </w:rPr>
        <w:t xml:space="preserve">  </w:t>
      </w:r>
      <w:r w:rsidRPr="009115E0">
        <w:rPr>
          <w:rFonts w:eastAsia="Times New Roman" w:cs="Arial"/>
          <w:u w:val="single"/>
          <w:lang w:eastAsia="pl-PL"/>
        </w:rPr>
        <w:t>roku</w:t>
      </w:r>
      <w:r w:rsidRPr="00DB582D">
        <w:rPr>
          <w:rFonts w:eastAsia="Times New Roman" w:cs="Arial"/>
          <w:lang w:eastAsia="pl-PL"/>
        </w:rPr>
        <w:t xml:space="preserve"> o godzinie 10.00, bez obecności Oferentów.</w:t>
      </w:r>
    </w:p>
    <w:p w:rsidR="00882ABE" w:rsidRPr="002248C1" w:rsidRDefault="00882ABE" w:rsidP="00D52A24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Zastrzega się możliwość:</w:t>
      </w:r>
    </w:p>
    <w:p w:rsidR="00882ABE" w:rsidRPr="00DB582D" w:rsidRDefault="00882ABE" w:rsidP="00D52A24">
      <w:pPr>
        <w:shd w:val="clear" w:color="auto" w:fill="FFFFFF"/>
        <w:spacing w:after="0" w:line="276" w:lineRule="auto"/>
        <w:ind w:left="851" w:hanging="425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1)</w:t>
      </w:r>
      <w:r w:rsidR="00C7798B"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>rezygnacji z wybranych usług objętych niniejszym zamówieniem,</w:t>
      </w:r>
    </w:p>
    <w:p w:rsidR="00882ABE" w:rsidRPr="00DB582D" w:rsidRDefault="00882ABE" w:rsidP="00D52A24">
      <w:pPr>
        <w:shd w:val="clear" w:color="auto" w:fill="FFFFFF"/>
        <w:spacing w:after="0" w:line="276" w:lineRule="auto"/>
        <w:ind w:left="709" w:hanging="283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2) swobodnego wyboru oferty, negocjacji z wybranymi </w:t>
      </w:r>
      <w:r w:rsidR="0053483E">
        <w:rPr>
          <w:rFonts w:eastAsia="Times New Roman" w:cs="Arial"/>
          <w:lang w:eastAsia="pl-PL"/>
        </w:rPr>
        <w:t>O</w:t>
      </w:r>
      <w:r w:rsidRPr="00DB582D">
        <w:rPr>
          <w:rFonts w:eastAsia="Times New Roman" w:cs="Arial"/>
          <w:lang w:eastAsia="pl-PL"/>
        </w:rPr>
        <w:t>ferentami, przedłużenia terminu składania ofert oraz ukończenia postępowania na każdym etapie postępowania bez podania przyczyny i bez ponoszenia jakichkolwiek skutków prawnych, w tym finansowych.</w:t>
      </w:r>
    </w:p>
    <w:p w:rsidR="00882ABE" w:rsidRPr="00DB582D" w:rsidRDefault="00882ABE" w:rsidP="00D52A24">
      <w:pPr>
        <w:tabs>
          <w:tab w:val="left" w:pos="360"/>
        </w:tabs>
        <w:spacing w:after="0" w:line="276" w:lineRule="auto"/>
        <w:ind w:left="360" w:hanging="36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7.</w:t>
      </w:r>
      <w:r w:rsidRPr="00DB582D">
        <w:rPr>
          <w:rFonts w:eastAsia="Times New Roman" w:cs="Arial"/>
          <w:lang w:eastAsia="pl-PL"/>
        </w:rPr>
        <w:tab/>
        <w:t>Oferty, które nie odpowiadają wymogom określonym przez Radę Nadzorczą</w:t>
      </w:r>
      <w:r w:rsidR="00405746">
        <w:rPr>
          <w:rFonts w:eastAsia="Times New Roman" w:cs="Arial"/>
          <w:lang w:eastAsia="pl-PL"/>
        </w:rPr>
        <w:t>,</w:t>
      </w:r>
      <w:r w:rsidRPr="00DB582D">
        <w:rPr>
          <w:rFonts w:eastAsia="Times New Roman" w:cs="Arial"/>
          <w:lang w:eastAsia="pl-PL"/>
        </w:rPr>
        <w:t xml:space="preserve"> zostaną odrzucone.</w:t>
      </w:r>
    </w:p>
    <w:p w:rsidR="00882ABE" w:rsidRPr="00DB582D" w:rsidRDefault="00882ABE" w:rsidP="00D52A24">
      <w:pPr>
        <w:tabs>
          <w:tab w:val="left" w:pos="360"/>
        </w:tabs>
        <w:spacing w:after="0" w:line="276" w:lineRule="auto"/>
        <w:ind w:left="360" w:hanging="36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8.</w:t>
      </w:r>
      <w:r w:rsidRPr="00DB582D">
        <w:rPr>
          <w:rFonts w:eastAsia="Times New Roman" w:cs="Arial"/>
          <w:lang w:eastAsia="pl-PL"/>
        </w:rPr>
        <w:tab/>
      </w:r>
      <w:r>
        <w:rPr>
          <w:rFonts w:eastAsia="Times New Roman" w:cs="Arial"/>
          <w:lang w:eastAsia="pl-PL"/>
        </w:rPr>
        <w:t>Oferta oraz w</w:t>
      </w:r>
      <w:r w:rsidRPr="00DB582D">
        <w:rPr>
          <w:rFonts w:eastAsia="Times New Roman" w:cs="Arial"/>
          <w:lang w:eastAsia="pl-PL"/>
        </w:rPr>
        <w:t xml:space="preserve">szelkie dokumenty i oświadczenia dołączone do oferty winny być składane w oryginałach, odpisach notarialnie poświadczonych lub odpisach poświadczonych przez osobę (osoby) upoważnione </w:t>
      </w:r>
      <w:r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>do reprezentowania Oferenta.</w:t>
      </w:r>
    </w:p>
    <w:p w:rsidR="00882ABE" w:rsidRPr="00DB582D" w:rsidRDefault="00882ABE" w:rsidP="00882ABE">
      <w:pPr>
        <w:spacing w:after="0" w:line="360" w:lineRule="auto"/>
        <w:jc w:val="center"/>
        <w:rPr>
          <w:rFonts w:eastAsia="Times New Roman" w:cs="Arial"/>
          <w:b/>
          <w:lang w:eastAsia="pl-PL"/>
        </w:rPr>
      </w:pPr>
      <w:r w:rsidRPr="00DB582D">
        <w:rPr>
          <w:rFonts w:eastAsia="Times New Roman" w:cs="Arial"/>
          <w:b/>
          <w:lang w:eastAsia="pl-PL"/>
        </w:rPr>
        <w:t>§ 5.</w:t>
      </w:r>
    </w:p>
    <w:p w:rsidR="00882ABE" w:rsidRPr="00DB582D" w:rsidRDefault="00882ABE" w:rsidP="00D52A24">
      <w:pPr>
        <w:numPr>
          <w:ilvl w:val="0"/>
          <w:numId w:val="12"/>
        </w:numPr>
        <w:spacing w:after="0" w:line="276" w:lineRule="auto"/>
        <w:ind w:left="36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Powołać Komisję ds. otwarcia oraz oceny ofert w związku z wyborem firmy do badania sprawozdań finansowych</w:t>
      </w:r>
      <w:r>
        <w:rPr>
          <w:rFonts w:eastAsia="Times New Roman" w:cs="Arial"/>
          <w:lang w:eastAsia="pl-PL"/>
        </w:rPr>
        <w:t xml:space="preserve"> </w:t>
      </w:r>
      <w:r w:rsidRPr="00DB582D">
        <w:rPr>
          <w:rFonts w:eastAsia="Times New Roman" w:cs="Arial"/>
          <w:lang w:eastAsia="pl-PL"/>
        </w:rPr>
        <w:t>(dalej Komisja) w składzie:</w:t>
      </w:r>
    </w:p>
    <w:p w:rsidR="00882ABE" w:rsidRPr="00DB582D" w:rsidRDefault="00882ABE" w:rsidP="00D52A24">
      <w:pPr>
        <w:tabs>
          <w:tab w:val="left" w:pos="1380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 xml:space="preserve">) </w:t>
      </w:r>
      <w:r w:rsidR="00D34659">
        <w:rPr>
          <w:rFonts w:eastAsia="Times New Roman" w:cs="Arial"/>
          <w:lang w:eastAsia="pl-PL"/>
        </w:rPr>
        <w:t xml:space="preserve">Michał Drzazga </w:t>
      </w:r>
      <w:r w:rsidRPr="006F0B87">
        <w:rPr>
          <w:rFonts w:eastAsia="Times New Roman" w:cs="Arial"/>
          <w:lang w:eastAsia="pl-PL"/>
        </w:rPr>
        <w:t xml:space="preserve">- Przedstawiciel Rady Nadzorczej </w:t>
      </w:r>
      <w:r w:rsidR="00D34659">
        <w:rPr>
          <w:rFonts w:eastAsia="Times New Roman" w:cs="Arial"/>
          <w:lang w:eastAsia="pl-PL"/>
        </w:rPr>
        <w:t xml:space="preserve">X </w:t>
      </w:r>
      <w:r w:rsidRPr="006F0B87">
        <w:rPr>
          <w:rFonts w:eastAsia="Times New Roman" w:cs="Arial"/>
          <w:lang w:eastAsia="pl-PL"/>
        </w:rPr>
        <w:t>kadencji</w:t>
      </w:r>
      <w:r w:rsidRPr="0057127C">
        <w:rPr>
          <w:rFonts w:eastAsia="Times New Roman" w:cs="Arial"/>
          <w:lang w:eastAsia="pl-PL"/>
        </w:rPr>
        <w:t>,</w:t>
      </w:r>
    </w:p>
    <w:p w:rsidR="00882ABE" w:rsidRPr="00DB582D" w:rsidRDefault="00882ABE" w:rsidP="00D52A24">
      <w:pPr>
        <w:tabs>
          <w:tab w:val="left" w:pos="1380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2) Edyta Dąbrowska - Kierownik Działu Obsługi Zarządu,</w:t>
      </w:r>
    </w:p>
    <w:p w:rsidR="00882ABE" w:rsidRPr="00DB582D" w:rsidRDefault="00882ABE" w:rsidP="00D52A24">
      <w:pPr>
        <w:tabs>
          <w:tab w:val="left" w:pos="1380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3) </w:t>
      </w:r>
      <w:r>
        <w:rPr>
          <w:rFonts w:eastAsia="Times New Roman" w:cs="Arial"/>
          <w:lang w:eastAsia="pl-PL"/>
        </w:rPr>
        <w:t>Małgorzata Kołakowska - Kierownik Działu Ekonomicznego</w:t>
      </w:r>
      <w:r w:rsidRPr="00DB582D">
        <w:rPr>
          <w:rFonts w:eastAsia="Times New Roman" w:cs="Arial"/>
          <w:lang w:eastAsia="pl-PL"/>
        </w:rPr>
        <w:t>,</w:t>
      </w:r>
    </w:p>
    <w:p w:rsidR="00882ABE" w:rsidRPr="00DB582D" w:rsidRDefault="00882ABE" w:rsidP="00D52A24">
      <w:pPr>
        <w:tabs>
          <w:tab w:val="left" w:pos="1380"/>
        </w:tabs>
        <w:spacing w:after="0" w:line="276" w:lineRule="auto"/>
        <w:ind w:left="720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 xml:space="preserve">4) Agnieszka </w:t>
      </w:r>
      <w:proofErr w:type="spellStart"/>
      <w:r w:rsidRPr="00DB582D">
        <w:rPr>
          <w:rFonts w:eastAsia="Times New Roman" w:cs="Arial"/>
          <w:lang w:eastAsia="pl-PL"/>
        </w:rPr>
        <w:t>Grobicka</w:t>
      </w:r>
      <w:proofErr w:type="spellEnd"/>
      <w:r w:rsidRPr="00DB582D">
        <w:rPr>
          <w:rFonts w:eastAsia="Times New Roman" w:cs="Arial"/>
          <w:lang w:eastAsia="pl-PL"/>
        </w:rPr>
        <w:t xml:space="preserve"> </w:t>
      </w:r>
      <w:r w:rsidR="002838AC">
        <w:rPr>
          <w:rFonts w:eastAsia="Times New Roman" w:cs="Arial"/>
          <w:lang w:eastAsia="pl-PL"/>
        </w:rPr>
        <w:t>-</w:t>
      </w:r>
      <w:r w:rsidRPr="00DB582D">
        <w:rPr>
          <w:rFonts w:eastAsia="Times New Roman" w:cs="Arial"/>
          <w:lang w:eastAsia="pl-PL"/>
        </w:rPr>
        <w:t xml:space="preserve"> Radca Prawny.</w:t>
      </w:r>
    </w:p>
    <w:p w:rsidR="00882ABE" w:rsidRPr="00DB582D" w:rsidRDefault="00882ABE" w:rsidP="00D52A24">
      <w:pPr>
        <w:numPr>
          <w:ilvl w:val="0"/>
          <w:numId w:val="12"/>
        </w:numPr>
        <w:tabs>
          <w:tab w:val="left" w:pos="0"/>
          <w:tab w:val="num" w:pos="284"/>
          <w:tab w:val="left" w:pos="138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Zobowiązać Komisję do sporządzenia pisemnego protokołu z czynności otwarcia i oceny ofert</w:t>
      </w:r>
      <w:r>
        <w:rPr>
          <w:rFonts w:eastAsia="Times New Roman" w:cs="Arial"/>
          <w:lang w:eastAsia="pl-PL"/>
        </w:rPr>
        <w:t>,</w:t>
      </w:r>
      <w:r w:rsidRPr="00DB582D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br/>
      </w:r>
      <w:r w:rsidRPr="00DB582D">
        <w:rPr>
          <w:rFonts w:eastAsia="Times New Roman" w:cs="Arial"/>
          <w:lang w:eastAsia="pl-PL"/>
        </w:rPr>
        <w:t xml:space="preserve">i przedłożenia go Radzie Nadzorczej w terminie do dnia </w:t>
      </w:r>
      <w:r w:rsidR="000224E9">
        <w:rPr>
          <w:rFonts w:eastAsia="Times New Roman" w:cs="Arial"/>
          <w:u w:val="single"/>
          <w:lang w:eastAsia="pl-PL"/>
        </w:rPr>
        <w:t>13</w:t>
      </w:r>
      <w:r w:rsidRPr="005A1479">
        <w:rPr>
          <w:rFonts w:eastAsia="Times New Roman" w:cs="Arial"/>
          <w:u w:val="single"/>
          <w:lang w:eastAsia="pl-PL"/>
        </w:rPr>
        <w:t>.0</w:t>
      </w:r>
      <w:r w:rsidR="00D34659">
        <w:rPr>
          <w:rFonts w:eastAsia="Times New Roman" w:cs="Arial"/>
          <w:u w:val="single"/>
          <w:lang w:eastAsia="pl-PL"/>
        </w:rPr>
        <w:t>9</w:t>
      </w:r>
      <w:r w:rsidRPr="005A1479">
        <w:rPr>
          <w:rFonts w:eastAsia="Times New Roman" w:cs="Arial"/>
          <w:u w:val="single"/>
          <w:lang w:eastAsia="pl-PL"/>
        </w:rPr>
        <w:t>.202</w:t>
      </w:r>
      <w:r w:rsidR="00D34659">
        <w:rPr>
          <w:rFonts w:eastAsia="Times New Roman" w:cs="Arial"/>
          <w:u w:val="single"/>
          <w:lang w:eastAsia="pl-PL"/>
        </w:rPr>
        <w:t>4</w:t>
      </w:r>
      <w:r w:rsidRPr="005A1479">
        <w:rPr>
          <w:rFonts w:eastAsia="Times New Roman" w:cs="Arial"/>
          <w:u w:val="single"/>
          <w:lang w:eastAsia="pl-PL"/>
        </w:rPr>
        <w:t xml:space="preserve"> roku</w:t>
      </w:r>
      <w:r w:rsidRPr="00DB582D">
        <w:rPr>
          <w:rFonts w:eastAsia="Times New Roman" w:cs="Arial"/>
          <w:lang w:eastAsia="pl-PL"/>
        </w:rPr>
        <w:t>.</w:t>
      </w:r>
    </w:p>
    <w:p w:rsidR="00882ABE" w:rsidRPr="002248C1" w:rsidRDefault="00882ABE" w:rsidP="00D52A24">
      <w:pPr>
        <w:numPr>
          <w:ilvl w:val="0"/>
          <w:numId w:val="12"/>
        </w:numPr>
        <w:tabs>
          <w:tab w:val="num" w:pos="284"/>
          <w:tab w:val="left" w:pos="138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DB582D">
        <w:rPr>
          <w:rFonts w:eastAsia="Times New Roman" w:cs="Arial"/>
          <w:lang w:eastAsia="pl-PL"/>
        </w:rPr>
        <w:t>Po otrzymaniu pisemnego protokołu z czynności otwarcia i oceny ofert Rada Nadzorcza dokona wyboru biegłego rewidenta.</w:t>
      </w:r>
    </w:p>
    <w:p w:rsidR="00882ABE" w:rsidRPr="00DB582D" w:rsidRDefault="00882ABE" w:rsidP="00882ABE">
      <w:pPr>
        <w:jc w:val="center"/>
        <w:rPr>
          <w:rFonts w:cs="Arial"/>
          <w:b/>
        </w:rPr>
      </w:pPr>
      <w:r w:rsidRPr="00DB582D">
        <w:rPr>
          <w:rFonts w:cs="Arial"/>
          <w:b/>
        </w:rPr>
        <w:t>§ 6.</w:t>
      </w:r>
    </w:p>
    <w:p w:rsidR="00882ABE" w:rsidRPr="008212D0" w:rsidRDefault="00882ABE" w:rsidP="00564833">
      <w:pPr>
        <w:spacing w:line="276" w:lineRule="auto"/>
        <w:rPr>
          <w:rFonts w:cs="Arial"/>
        </w:rPr>
      </w:pPr>
      <w:r w:rsidRPr="008212D0">
        <w:rPr>
          <w:rFonts w:cs="Arial"/>
        </w:rPr>
        <w:t>Uchwała wchodzi w życie z dniem podjęcia.</w:t>
      </w:r>
    </w:p>
    <w:p w:rsidR="002838AC" w:rsidRDefault="002838AC" w:rsidP="002838AC">
      <w:pPr>
        <w:spacing w:after="0" w:line="276" w:lineRule="auto"/>
        <w:rPr>
          <w:rFonts w:ascii="Calibri" w:eastAsia="Times New Roman" w:hAnsi="Calibri" w:cs="Arial"/>
          <w:kern w:val="0"/>
          <w:lang w:eastAsia="pl-PL"/>
          <w14:ligatures w14:val="none"/>
        </w:rPr>
      </w:pPr>
      <w:r>
        <w:rPr>
          <w:rFonts w:ascii="Calibri" w:eastAsia="Times New Roman" w:hAnsi="Calibri" w:cs="Arial"/>
          <w:kern w:val="0"/>
          <w:lang w:eastAsia="pl-PL"/>
          <w14:ligatures w14:val="none"/>
        </w:rPr>
        <w:t>Głosowanie przeprowadzono w trybie jawnym.</w:t>
      </w:r>
    </w:p>
    <w:p w:rsidR="002838AC" w:rsidRDefault="002838AC" w:rsidP="002838AC">
      <w:pPr>
        <w:tabs>
          <w:tab w:val="right" w:pos="3600"/>
          <w:tab w:val="right" w:pos="6120"/>
          <w:tab w:val="right" w:pos="9645"/>
        </w:tabs>
        <w:autoSpaceDE w:val="0"/>
        <w:autoSpaceDN w:val="0"/>
        <w:adjustRightInd w:val="0"/>
        <w:spacing w:after="0" w:line="300" w:lineRule="atLeast"/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>Liczba obecnych:</w:t>
      </w:r>
      <w:r>
        <w:rPr>
          <w:rFonts w:ascii="Calibri" w:eastAsia="Calibri" w:hAnsi="Calibri" w:cs="Arial"/>
          <w:b/>
          <w:kern w:val="0"/>
          <w14:ligatures w14:val="none"/>
        </w:rPr>
        <w:t xml:space="preserve"> 7</w:t>
      </w:r>
    </w:p>
    <w:p w:rsidR="002838AC" w:rsidRDefault="002838AC" w:rsidP="002838AC">
      <w:pPr>
        <w:tabs>
          <w:tab w:val="right" w:pos="3600"/>
          <w:tab w:val="right" w:pos="6120"/>
          <w:tab w:val="right" w:pos="9645"/>
        </w:tabs>
        <w:autoSpaceDE w:val="0"/>
        <w:autoSpaceDN w:val="0"/>
        <w:adjustRightInd w:val="0"/>
        <w:spacing w:after="0" w:line="300" w:lineRule="atLeast"/>
        <w:rPr>
          <w:rFonts w:ascii="Calibri" w:eastAsia="Calibri" w:hAnsi="Calibri" w:cs="Arial"/>
          <w:b/>
          <w:kern w:val="0"/>
          <w14:ligatures w14:val="none"/>
        </w:rPr>
      </w:pPr>
      <w:r>
        <w:rPr>
          <w:rFonts w:ascii="Calibri" w:eastAsia="Calibri" w:hAnsi="Calibri" w:cs="Arial"/>
          <w:kern w:val="0"/>
          <w14:ligatures w14:val="none"/>
        </w:rPr>
        <w:t>Liczba głosów „</w:t>
      </w:r>
      <w:r>
        <w:rPr>
          <w:rFonts w:ascii="Calibri" w:eastAsia="Calibri" w:hAnsi="Calibri" w:cs="Arial"/>
          <w:b/>
          <w:kern w:val="0"/>
          <w14:ligatures w14:val="none"/>
        </w:rPr>
        <w:t>za</w:t>
      </w:r>
      <w:r>
        <w:rPr>
          <w:rFonts w:ascii="Calibri" w:eastAsia="Calibri" w:hAnsi="Calibri" w:cs="Arial"/>
          <w:kern w:val="0"/>
          <w14:ligatures w14:val="none"/>
        </w:rPr>
        <w:t>": </w:t>
      </w:r>
      <w:r w:rsidR="00D436DA">
        <w:rPr>
          <w:rFonts w:ascii="Calibri" w:eastAsia="Calibri" w:hAnsi="Calibri" w:cs="Arial"/>
          <w:b/>
          <w:kern w:val="0"/>
          <w14:ligatures w14:val="none"/>
        </w:rPr>
        <w:t>7</w:t>
      </w:r>
      <w:r>
        <w:rPr>
          <w:rFonts w:ascii="Calibri" w:eastAsia="Calibri" w:hAnsi="Calibri" w:cs="Arial"/>
          <w:kern w:val="0"/>
          <w14:ligatures w14:val="none"/>
        </w:rPr>
        <w:t xml:space="preserve">    Liczba głosów „</w:t>
      </w:r>
      <w:r>
        <w:rPr>
          <w:rFonts w:ascii="Calibri" w:eastAsia="Calibri" w:hAnsi="Calibri" w:cs="Arial"/>
          <w:b/>
          <w:kern w:val="0"/>
          <w14:ligatures w14:val="none"/>
        </w:rPr>
        <w:t>przeciw</w:t>
      </w:r>
      <w:r>
        <w:rPr>
          <w:rFonts w:ascii="Calibri" w:eastAsia="Calibri" w:hAnsi="Calibri" w:cs="Arial"/>
          <w:kern w:val="0"/>
          <w14:ligatures w14:val="none"/>
        </w:rPr>
        <w:t>": </w:t>
      </w:r>
      <w:r w:rsidR="00D436DA">
        <w:rPr>
          <w:rFonts w:ascii="Calibri" w:eastAsia="Calibri" w:hAnsi="Calibri" w:cs="Arial"/>
          <w:b/>
          <w:kern w:val="0"/>
          <w14:ligatures w14:val="none"/>
        </w:rPr>
        <w:t>0</w:t>
      </w:r>
      <w:r>
        <w:rPr>
          <w:rFonts w:ascii="Calibri" w:eastAsia="Calibri" w:hAnsi="Calibri" w:cs="Arial"/>
          <w:kern w:val="0"/>
          <w14:ligatures w14:val="none"/>
        </w:rPr>
        <w:t xml:space="preserve"> </w:t>
      </w:r>
      <w:r>
        <w:rPr>
          <w:rFonts w:ascii="Calibri" w:eastAsia="Calibri" w:hAnsi="Calibri" w:cs="Arial"/>
          <w:kern w:val="0"/>
          <w14:ligatures w14:val="none"/>
        </w:rPr>
        <w:tab/>
        <w:t xml:space="preserve">   Liczba głosów „</w:t>
      </w:r>
      <w:r>
        <w:rPr>
          <w:rFonts w:ascii="Calibri" w:eastAsia="Calibri" w:hAnsi="Calibri" w:cs="Arial"/>
          <w:b/>
          <w:kern w:val="0"/>
          <w14:ligatures w14:val="none"/>
        </w:rPr>
        <w:t>wstrzymujących się</w:t>
      </w:r>
      <w:r>
        <w:rPr>
          <w:rFonts w:ascii="Calibri" w:eastAsia="Calibri" w:hAnsi="Calibri" w:cs="Arial"/>
          <w:kern w:val="0"/>
          <w14:ligatures w14:val="none"/>
        </w:rPr>
        <w:t xml:space="preserve">”: </w:t>
      </w:r>
      <w:r w:rsidR="00D436DA">
        <w:rPr>
          <w:rFonts w:ascii="Calibri" w:eastAsia="Calibri" w:hAnsi="Calibri" w:cs="Arial"/>
          <w:b/>
          <w:kern w:val="0"/>
          <w14:ligatures w14:val="none"/>
        </w:rPr>
        <w:t>0</w:t>
      </w:r>
      <w:r>
        <w:rPr>
          <w:rFonts w:ascii="Calibri" w:eastAsia="Calibri" w:hAnsi="Calibri" w:cs="Arial"/>
          <w:kern w:val="0"/>
          <w14:ligatures w14:val="none"/>
        </w:rPr>
        <w:t xml:space="preserve"> </w:t>
      </w:r>
    </w:p>
    <w:p w:rsidR="002838AC" w:rsidRDefault="002838AC" w:rsidP="002838AC">
      <w:pPr>
        <w:spacing w:after="0" w:line="240" w:lineRule="auto"/>
        <w:rPr>
          <w:rFonts w:cs="Calibri"/>
          <w:b/>
          <w:spacing w:val="20"/>
        </w:rPr>
      </w:pPr>
    </w:p>
    <w:p w:rsidR="002838AC" w:rsidRDefault="002838AC" w:rsidP="002838AC">
      <w:pPr>
        <w:spacing w:after="0" w:line="240" w:lineRule="auto"/>
        <w:rPr>
          <w:rFonts w:cs="Calibri"/>
          <w:b/>
          <w:spacing w:val="20"/>
        </w:rPr>
      </w:pPr>
      <w:r>
        <w:rPr>
          <w:rFonts w:cs="Calibri"/>
          <w:b/>
          <w:spacing w:val="20"/>
        </w:rPr>
        <w:t>Podpisy obecnych Członków Rady Nadzorczej:</w:t>
      </w:r>
    </w:p>
    <w:p w:rsidR="002838AC" w:rsidRDefault="002838AC" w:rsidP="002838AC">
      <w:pPr>
        <w:spacing w:after="0" w:line="240" w:lineRule="auto"/>
        <w:rPr>
          <w:rFonts w:ascii="Calibri" w:hAnsi="Calibri" w:cs="Calibri"/>
          <w:b/>
          <w:spacing w:val="20"/>
          <w:sz w:val="16"/>
          <w:szCs w:val="16"/>
        </w:rPr>
      </w:pPr>
    </w:p>
    <w:p w:rsidR="002838AC" w:rsidRDefault="002838AC" w:rsidP="002838AC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eastAsiaTheme="majorEastAsia" w:hAnsi="Calibri" w:cs="Calibri"/>
          <w:color w:val="000000"/>
          <w:sz w:val="22"/>
          <w:szCs w:val="22"/>
        </w:rPr>
        <w:t>Marek Kosicki</w:t>
      </w:r>
      <w:r>
        <w:rPr>
          <w:rFonts w:ascii="Calibri" w:hAnsi="Calibri" w:cs="Calibri"/>
          <w:color w:val="000000"/>
          <w:sz w:val="22"/>
          <w:szCs w:val="22"/>
        </w:rPr>
        <w:t xml:space="preserve"> – Przewodniczący Rady Nadzorczej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b/>
          <w:color w:val="000000"/>
          <w:sz w:val="22"/>
          <w:szCs w:val="22"/>
        </w:rPr>
        <w:t>Katarzyna Flak</w:t>
      </w:r>
      <w:r>
        <w:rPr>
          <w:rFonts w:ascii="Calibri" w:hAnsi="Calibri" w:cs="Calibri"/>
          <w:color w:val="000000"/>
          <w:sz w:val="22"/>
          <w:szCs w:val="22"/>
        </w:rPr>
        <w:t xml:space="preserve"> – Wiceprzewodnicząca Rady Nadzorczej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</w:p>
    <w:p w:rsidR="002838AC" w:rsidRDefault="002838AC" w:rsidP="002838AC">
      <w:pPr>
        <w:pStyle w:val="NormalnyWeb"/>
        <w:shd w:val="clear" w:color="auto" w:fill="FFFFFF"/>
        <w:spacing w:before="0" w:beforeAutospacing="0" w:after="0" w:afterAutospacing="0" w:line="48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Pogrubienie"/>
          <w:rFonts w:ascii="Calibri" w:eastAsiaTheme="majorEastAsia" w:hAnsi="Calibri" w:cs="Calibri"/>
          <w:color w:val="000000"/>
          <w:sz w:val="22"/>
          <w:szCs w:val="22"/>
        </w:rPr>
        <w:t>Michał Drzazga</w:t>
      </w:r>
      <w:r>
        <w:rPr>
          <w:rFonts w:ascii="Calibri" w:hAnsi="Calibri" w:cs="Calibri"/>
          <w:color w:val="000000"/>
          <w:sz w:val="22"/>
          <w:szCs w:val="22"/>
        </w:rPr>
        <w:t xml:space="preserve"> – Sekretarz Rady Nadzorczej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</w:p>
    <w:p w:rsidR="002838AC" w:rsidRDefault="002838AC" w:rsidP="002838AC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eastAsiaTheme="majorEastAsia" w:hAnsi="Calibri" w:cs="Calibri"/>
          <w:color w:val="000000"/>
          <w:sz w:val="22"/>
          <w:szCs w:val="22"/>
        </w:rPr>
        <w:t xml:space="preserve">Paweł Białek </w:t>
      </w:r>
      <w:r>
        <w:rPr>
          <w:rFonts w:ascii="Calibri" w:hAnsi="Calibri" w:cs="Calibri"/>
          <w:color w:val="000000"/>
          <w:sz w:val="22"/>
          <w:szCs w:val="22"/>
        </w:rPr>
        <w:t xml:space="preserve">– Członek Rady Nadzorczej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br/>
        <w:t>Łukasz Jakubowski</w:t>
      </w:r>
      <w:r>
        <w:rPr>
          <w:rFonts w:ascii="Calibri" w:hAnsi="Calibri" w:cs="Calibri"/>
          <w:color w:val="000000"/>
          <w:sz w:val="22"/>
          <w:szCs w:val="22"/>
        </w:rPr>
        <w:t xml:space="preserve"> – Członek Rady Nadzorczej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</w:p>
    <w:p w:rsidR="002838AC" w:rsidRDefault="002838AC" w:rsidP="002838AC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Pogrubienie"/>
          <w:rFonts w:ascii="Calibri" w:eastAsiaTheme="majorEastAsia" w:hAnsi="Calibri" w:cs="Calibri"/>
          <w:color w:val="000000"/>
          <w:sz w:val="22"/>
          <w:szCs w:val="22"/>
        </w:rPr>
        <w:t>Monika Namysłowska</w:t>
      </w:r>
      <w:r>
        <w:rPr>
          <w:rFonts w:ascii="Calibri" w:hAnsi="Calibri" w:cs="Calibri"/>
          <w:color w:val="000000"/>
          <w:sz w:val="22"/>
          <w:szCs w:val="22"/>
        </w:rPr>
        <w:t xml:space="preserve"> – Członek Rady Nadzorczej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</w:p>
    <w:p w:rsidR="002838AC" w:rsidRDefault="002838AC" w:rsidP="002838AC">
      <w:pPr>
        <w:pStyle w:val="NormalnyWeb"/>
        <w:shd w:val="clear" w:color="auto" w:fill="FFFFFF"/>
        <w:spacing w:before="0" w:beforeAutospacing="0" w:after="0" w:afterAutospacing="0"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Artur 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Przewrocki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 Członek Rady Nadzorczej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____________________________________</w:t>
      </w:r>
    </w:p>
    <w:p w:rsidR="002838AC" w:rsidRDefault="002838AC" w:rsidP="002838AC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sectPr w:rsidR="002838AC" w:rsidSect="007049C7">
      <w:headerReference w:type="default" r:id="rId11"/>
      <w:footerReference w:type="default" r:id="rId12"/>
      <w:pgSz w:w="11906" w:h="16838"/>
      <w:pgMar w:top="1417" w:right="1133" w:bottom="1417" w:left="1134" w:header="70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105" w:rsidRDefault="00DD4105" w:rsidP="00CE21EE">
      <w:pPr>
        <w:spacing w:after="0" w:line="240" w:lineRule="auto"/>
      </w:pPr>
      <w:r>
        <w:separator/>
      </w:r>
    </w:p>
  </w:endnote>
  <w:endnote w:type="continuationSeparator" w:id="0">
    <w:p w:rsidR="00DD4105" w:rsidRDefault="00DD4105" w:rsidP="00CE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EE" w:rsidRDefault="00E54C94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B9BBB5B" wp14:editId="248C5B2C">
          <wp:simplePos x="0" y="0"/>
          <wp:positionH relativeFrom="page">
            <wp:align>left</wp:align>
          </wp:positionH>
          <wp:positionV relativeFrom="paragraph">
            <wp:posOffset>-8467</wp:posOffset>
          </wp:positionV>
          <wp:extent cx="7546834" cy="1600217"/>
          <wp:effectExtent l="0" t="0" r="0" b="0"/>
          <wp:wrapNone/>
          <wp:docPr id="14029861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986139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834" cy="1600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105" w:rsidRDefault="00DD4105" w:rsidP="00CE21EE">
      <w:pPr>
        <w:spacing w:after="0" w:line="240" w:lineRule="auto"/>
      </w:pPr>
      <w:r>
        <w:separator/>
      </w:r>
    </w:p>
  </w:footnote>
  <w:footnote w:type="continuationSeparator" w:id="0">
    <w:p w:rsidR="00DD4105" w:rsidRDefault="00DD4105" w:rsidP="00CE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21EE" w:rsidRDefault="00CE21EE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6F7BE5" wp14:editId="58613ED4">
          <wp:simplePos x="0" y="0"/>
          <wp:positionH relativeFrom="page">
            <wp:align>right</wp:align>
          </wp:positionH>
          <wp:positionV relativeFrom="paragraph">
            <wp:posOffset>-468630</wp:posOffset>
          </wp:positionV>
          <wp:extent cx="7581900" cy="152781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828785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52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26B"/>
    <w:multiLevelType w:val="hybridMultilevel"/>
    <w:tmpl w:val="B84609A8"/>
    <w:lvl w:ilvl="0" w:tplc="C44876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8727A"/>
    <w:multiLevelType w:val="hybridMultilevel"/>
    <w:tmpl w:val="0966E7AC"/>
    <w:lvl w:ilvl="0" w:tplc="1C1E27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310F"/>
    <w:multiLevelType w:val="hybridMultilevel"/>
    <w:tmpl w:val="D0E0DD96"/>
    <w:lvl w:ilvl="0" w:tplc="49BE5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4192DCD4">
      <w:start w:val="1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AC4D8F"/>
    <w:multiLevelType w:val="hybridMultilevel"/>
    <w:tmpl w:val="14FA1A0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14D5"/>
    <w:multiLevelType w:val="hybridMultilevel"/>
    <w:tmpl w:val="3E0A8722"/>
    <w:lvl w:ilvl="0" w:tplc="18C0D43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E7BD0"/>
    <w:multiLevelType w:val="hybridMultilevel"/>
    <w:tmpl w:val="937680AA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0A74E0"/>
    <w:multiLevelType w:val="hybridMultilevel"/>
    <w:tmpl w:val="2A00B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20A1"/>
    <w:multiLevelType w:val="hybridMultilevel"/>
    <w:tmpl w:val="D9D0790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B4010"/>
    <w:multiLevelType w:val="hybridMultilevel"/>
    <w:tmpl w:val="B84609A8"/>
    <w:lvl w:ilvl="0" w:tplc="C44876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E4FA4"/>
    <w:multiLevelType w:val="hybridMultilevel"/>
    <w:tmpl w:val="03DEBB2C"/>
    <w:lvl w:ilvl="0" w:tplc="2A6235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64295B"/>
    <w:multiLevelType w:val="hybridMultilevel"/>
    <w:tmpl w:val="42182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6204"/>
    <w:multiLevelType w:val="hybridMultilevel"/>
    <w:tmpl w:val="5240F6DC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F3C41EF"/>
    <w:multiLevelType w:val="hybridMultilevel"/>
    <w:tmpl w:val="D99CCC62"/>
    <w:lvl w:ilvl="0" w:tplc="F0129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E68F0"/>
    <w:multiLevelType w:val="hybridMultilevel"/>
    <w:tmpl w:val="8C14467C"/>
    <w:lvl w:ilvl="0" w:tplc="6C66EE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E"/>
    <w:rsid w:val="000224E9"/>
    <w:rsid w:val="00081D4D"/>
    <w:rsid w:val="000B4639"/>
    <w:rsid w:val="000C70B6"/>
    <w:rsid w:val="0010275C"/>
    <w:rsid w:val="00117E36"/>
    <w:rsid w:val="00151663"/>
    <w:rsid w:val="00155C06"/>
    <w:rsid w:val="002248C1"/>
    <w:rsid w:val="00255FE8"/>
    <w:rsid w:val="00277567"/>
    <w:rsid w:val="002838AC"/>
    <w:rsid w:val="002A157C"/>
    <w:rsid w:val="00306378"/>
    <w:rsid w:val="00322C28"/>
    <w:rsid w:val="0032484B"/>
    <w:rsid w:val="003D04B7"/>
    <w:rsid w:val="00405746"/>
    <w:rsid w:val="004072AF"/>
    <w:rsid w:val="00413685"/>
    <w:rsid w:val="004E3C49"/>
    <w:rsid w:val="0050643D"/>
    <w:rsid w:val="005163CD"/>
    <w:rsid w:val="0053483E"/>
    <w:rsid w:val="00556D8E"/>
    <w:rsid w:val="00564833"/>
    <w:rsid w:val="00586050"/>
    <w:rsid w:val="005C39D8"/>
    <w:rsid w:val="005D52D8"/>
    <w:rsid w:val="005F3752"/>
    <w:rsid w:val="006233D3"/>
    <w:rsid w:val="006454B4"/>
    <w:rsid w:val="00662816"/>
    <w:rsid w:val="00663394"/>
    <w:rsid w:val="007049C7"/>
    <w:rsid w:val="00740AA3"/>
    <w:rsid w:val="00755AE8"/>
    <w:rsid w:val="007757E3"/>
    <w:rsid w:val="007C155E"/>
    <w:rsid w:val="0080255E"/>
    <w:rsid w:val="008271FC"/>
    <w:rsid w:val="00856F15"/>
    <w:rsid w:val="00882ABE"/>
    <w:rsid w:val="008937F6"/>
    <w:rsid w:val="00894612"/>
    <w:rsid w:val="00897D6C"/>
    <w:rsid w:val="008E119D"/>
    <w:rsid w:val="00992099"/>
    <w:rsid w:val="009C70D2"/>
    <w:rsid w:val="00A03F4E"/>
    <w:rsid w:val="00A148BE"/>
    <w:rsid w:val="00A55C2F"/>
    <w:rsid w:val="00A702BA"/>
    <w:rsid w:val="00A943FB"/>
    <w:rsid w:val="00AA7F31"/>
    <w:rsid w:val="00AE4784"/>
    <w:rsid w:val="00B01970"/>
    <w:rsid w:val="00B1744E"/>
    <w:rsid w:val="00B25683"/>
    <w:rsid w:val="00B3750C"/>
    <w:rsid w:val="00B51DDA"/>
    <w:rsid w:val="00BD0867"/>
    <w:rsid w:val="00C27301"/>
    <w:rsid w:val="00C33DEC"/>
    <w:rsid w:val="00C3459B"/>
    <w:rsid w:val="00C52910"/>
    <w:rsid w:val="00C71C3E"/>
    <w:rsid w:val="00C7798B"/>
    <w:rsid w:val="00CD4F95"/>
    <w:rsid w:val="00CD5292"/>
    <w:rsid w:val="00CD6B8B"/>
    <w:rsid w:val="00CE21EE"/>
    <w:rsid w:val="00CF397C"/>
    <w:rsid w:val="00D131B4"/>
    <w:rsid w:val="00D146A2"/>
    <w:rsid w:val="00D34659"/>
    <w:rsid w:val="00D435B2"/>
    <w:rsid w:val="00D436DA"/>
    <w:rsid w:val="00D52A24"/>
    <w:rsid w:val="00D63284"/>
    <w:rsid w:val="00D93754"/>
    <w:rsid w:val="00D96153"/>
    <w:rsid w:val="00DD3A2A"/>
    <w:rsid w:val="00DD4105"/>
    <w:rsid w:val="00DF2E32"/>
    <w:rsid w:val="00E01834"/>
    <w:rsid w:val="00E54C94"/>
    <w:rsid w:val="00E7189C"/>
    <w:rsid w:val="00EC1BA9"/>
    <w:rsid w:val="00ED217D"/>
    <w:rsid w:val="00F248E8"/>
    <w:rsid w:val="00FE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B5EC69"/>
  <w15:chartTrackingRefBased/>
  <w15:docId w15:val="{A7E363B4-CC84-4B89-95F6-62429EE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2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2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2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2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2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2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2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2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2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21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21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21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21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21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21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2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2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2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21EE"/>
    <w:rPr>
      <w:i/>
      <w:iCs/>
      <w:color w:val="404040" w:themeColor="text1" w:themeTint="BF"/>
    </w:rPr>
  </w:style>
  <w:style w:type="paragraph" w:styleId="Akapitzlist">
    <w:name w:val="List Paragraph"/>
    <w:aliases w:val="Akapit z nr,Preambuła,Nagłowek 3,lp1,BulletC,normalny tekst,List bullet,Obiekt,List Paragraph1,Akapit z listą1,Bullet Number,Body MS Bullet,List Paragraph2,ISCG Numerowanie,Eko punkty,podpunkt,paragraf,Numerowanie,L1,Akapit z listą5"/>
    <w:basedOn w:val="Normalny"/>
    <w:link w:val="AkapitzlistZnak"/>
    <w:uiPriority w:val="34"/>
    <w:qFormat/>
    <w:rsid w:val="00CE21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21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2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21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21E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1EE"/>
  </w:style>
  <w:style w:type="paragraph" w:styleId="Stopka">
    <w:name w:val="footer"/>
    <w:basedOn w:val="Normalny"/>
    <w:link w:val="StopkaZnak"/>
    <w:uiPriority w:val="99"/>
    <w:unhideWhenUsed/>
    <w:rsid w:val="00CE2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1EE"/>
  </w:style>
  <w:style w:type="table" w:styleId="Tabela-Siatka">
    <w:name w:val="Table Grid"/>
    <w:basedOn w:val="Standardowy"/>
    <w:uiPriority w:val="39"/>
    <w:rsid w:val="00AE47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r Znak,Preambuła Znak,Nagłowek 3 Znak,lp1 Znak,BulletC Znak,normalny tekst Znak,List bullet Znak,Obiekt Znak,List Paragraph1 Znak,Akapit z listą1 Znak,Bullet Number Znak,Body MS Bullet Znak,List Paragraph2 Znak,L1 Znak"/>
    <w:link w:val="Akapitzlist"/>
    <w:uiPriority w:val="34"/>
    <w:qFormat/>
    <w:locked/>
    <w:rsid w:val="00AE4784"/>
  </w:style>
  <w:style w:type="character" w:styleId="Pogrubienie">
    <w:name w:val="Strong"/>
    <w:basedOn w:val="Domylnaczcionkaakapitu"/>
    <w:uiPriority w:val="22"/>
    <w:qFormat/>
    <w:rsid w:val="000C70B6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DF2E3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2E32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styleId="NormalnyWeb">
    <w:name w:val="Normal (Web)"/>
    <w:basedOn w:val="Normalny"/>
    <w:uiPriority w:val="99"/>
    <w:unhideWhenUsed/>
    <w:rsid w:val="00FE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D3A2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3A2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0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ern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FA2967965F7E4680514DBFE1AD5BEB" ma:contentTypeVersion="0" ma:contentTypeDescription="Utwórz nowy dokument." ma:contentTypeScope="" ma:versionID="58fb72e3b20fdd52322221deadded7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0DB4C-7FCC-43D1-9BF0-801C9726B1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BE971-8726-4859-88FE-B3B3C5460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30253-A2D2-4CD7-8742-9EEF2F7F59B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2157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Zwolan</dc:creator>
  <cp:keywords/>
  <dc:description/>
  <cp:lastModifiedBy>Bielak Aleksandra</cp:lastModifiedBy>
  <cp:revision>51</cp:revision>
  <cp:lastPrinted>2024-08-13T10:16:00Z</cp:lastPrinted>
  <dcterms:created xsi:type="dcterms:W3CDTF">2024-08-12T14:07:00Z</dcterms:created>
  <dcterms:modified xsi:type="dcterms:W3CDTF">2024-08-13T10:20:00Z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0x0101007DFA2967965F7E4680514DBFE1AD5BEB</vt:lpwstr>
  </property>
</Properties>
</file>